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B955B" w14:textId="77777777" w:rsidR="002D0A8F" w:rsidRDefault="00154491" w:rsidP="00D414A9">
      <w:pPr>
        <w:spacing w:after="0" w:line="240" w:lineRule="auto"/>
        <w:contextualSpacing/>
        <w:jc w:val="center"/>
        <w:rPr>
          <w:rFonts w:ascii="Gill Sans" w:hAnsi="Gill Sans"/>
          <w:b/>
          <w:sz w:val="28"/>
        </w:rPr>
      </w:pPr>
      <w:r>
        <w:rPr>
          <w:rFonts w:ascii="Gill Sans" w:hAnsi="Gill Sans"/>
          <w:b/>
          <w:sz w:val="28"/>
        </w:rPr>
        <w:t>Royal Borough of Greenwich</w:t>
      </w:r>
    </w:p>
    <w:p w14:paraId="767D7E6D" w14:textId="77777777" w:rsidR="00154491" w:rsidRDefault="00154491" w:rsidP="00D414A9">
      <w:pPr>
        <w:spacing w:after="0" w:line="240" w:lineRule="auto"/>
        <w:contextualSpacing/>
        <w:jc w:val="center"/>
        <w:rPr>
          <w:rFonts w:ascii="Gill Sans" w:hAnsi="Gill Sans"/>
          <w:b/>
          <w:sz w:val="28"/>
        </w:rPr>
      </w:pPr>
      <w:r>
        <w:rPr>
          <w:rFonts w:ascii="Gill Sans" w:hAnsi="Gill Sans"/>
          <w:b/>
          <w:sz w:val="28"/>
        </w:rPr>
        <w:t>FOI and EIR Performance report</w:t>
      </w:r>
    </w:p>
    <w:p w14:paraId="4768088B" w14:textId="77777777" w:rsidR="00154491" w:rsidRDefault="00154491" w:rsidP="00D414A9">
      <w:pPr>
        <w:spacing w:after="0" w:line="240" w:lineRule="auto"/>
        <w:contextualSpacing/>
        <w:jc w:val="center"/>
        <w:rPr>
          <w:rFonts w:ascii="Gill Sans" w:hAnsi="Gill Sans"/>
          <w:b/>
          <w:sz w:val="28"/>
        </w:rPr>
      </w:pPr>
    </w:p>
    <w:p w14:paraId="7D1C9A87" w14:textId="1811497B" w:rsidR="00154491" w:rsidRPr="00143B44" w:rsidRDefault="00154491" w:rsidP="00D414A9">
      <w:pPr>
        <w:spacing w:after="0" w:line="240" w:lineRule="auto"/>
        <w:contextualSpacing/>
        <w:jc w:val="center"/>
        <w:rPr>
          <w:rFonts w:ascii="Gill Sans" w:hAnsi="Gill Sans"/>
          <w:b/>
          <w:sz w:val="28"/>
        </w:rPr>
      </w:pPr>
      <w:r>
        <w:rPr>
          <w:rFonts w:ascii="Gill Sans" w:hAnsi="Gill Sans"/>
          <w:b/>
          <w:sz w:val="28"/>
        </w:rPr>
        <w:t>202</w:t>
      </w:r>
      <w:r w:rsidR="00DE5F3B">
        <w:rPr>
          <w:rFonts w:ascii="Gill Sans" w:hAnsi="Gill Sans"/>
          <w:b/>
          <w:sz w:val="28"/>
        </w:rPr>
        <w:t>2</w:t>
      </w:r>
      <w:r>
        <w:rPr>
          <w:rFonts w:ascii="Gill Sans" w:hAnsi="Gill Sans"/>
          <w:b/>
          <w:sz w:val="28"/>
        </w:rPr>
        <w:t xml:space="preserve"> Calendar Year</w:t>
      </w:r>
    </w:p>
    <w:p w14:paraId="4D612BAC" w14:textId="77777777" w:rsidR="002D0A8F" w:rsidRDefault="002D0A8F" w:rsidP="00CA2DEC">
      <w:pPr>
        <w:spacing w:after="0" w:line="240" w:lineRule="auto"/>
        <w:contextualSpacing/>
        <w:jc w:val="center"/>
        <w:rPr>
          <w:rFonts w:ascii="Gill Sans" w:hAnsi="Gill Sans"/>
          <w:b/>
          <w:sz w:val="28"/>
        </w:rPr>
      </w:pPr>
    </w:p>
    <w:p w14:paraId="23D53E6D" w14:textId="77777777" w:rsidR="00143B44" w:rsidRDefault="00143B44" w:rsidP="00CA2DEC">
      <w:pPr>
        <w:spacing w:after="0" w:line="240" w:lineRule="auto"/>
        <w:contextualSpacing/>
        <w:jc w:val="center"/>
        <w:rPr>
          <w:rFonts w:ascii="Gill Sans" w:hAnsi="Gill Sans"/>
          <w:b/>
          <w:sz w:val="28"/>
        </w:rPr>
      </w:pPr>
    </w:p>
    <w:p w14:paraId="46C8A660" w14:textId="77777777" w:rsidR="00A6477B" w:rsidRPr="005C6DB5" w:rsidRDefault="00A6477B" w:rsidP="00143B44">
      <w:pPr>
        <w:spacing w:after="0" w:line="240" w:lineRule="auto"/>
        <w:contextualSpacing/>
        <w:rPr>
          <w:rFonts w:ascii="Gill Sans" w:hAnsi="Gill Sans"/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6"/>
        <w:gridCol w:w="3469"/>
        <w:gridCol w:w="3141"/>
      </w:tblGrid>
      <w:tr w:rsidR="00C43791" w:rsidRPr="00F76ADA" w14:paraId="10A58DCB" w14:textId="77777777" w:rsidTr="00F14CAF">
        <w:trPr>
          <w:trHeight w:val="432"/>
        </w:trPr>
        <w:tc>
          <w:tcPr>
            <w:tcW w:w="10456" w:type="dxa"/>
            <w:gridSpan w:val="3"/>
            <w:shd w:val="clear" w:color="auto" w:fill="D9D9D9" w:themeFill="background1" w:themeFillShade="D9"/>
            <w:vAlign w:val="center"/>
          </w:tcPr>
          <w:p w14:paraId="1AA3955B" w14:textId="7C77FD10" w:rsidR="00C43791" w:rsidRPr="000423F5" w:rsidRDefault="00732B64" w:rsidP="0040448F">
            <w:pPr>
              <w:jc w:val="center"/>
              <w:rPr>
                <w:rFonts w:ascii="Gill Sans" w:eastAsia="Times New Roman" w:hAnsi="Gill Sans" w:cs="Times New Roman"/>
                <w:b/>
                <w:color w:val="000000" w:themeColor="text1"/>
                <w:szCs w:val="24"/>
                <w:lang w:eastAsia="en-GB"/>
              </w:rPr>
            </w:pPr>
            <w:r>
              <w:rPr>
                <w:rFonts w:ascii="Gill Sans" w:eastAsia="Times New Roman" w:hAnsi="Gill Sans" w:cs="Times New Roman"/>
                <w:b/>
                <w:color w:val="000000" w:themeColor="text1"/>
                <w:szCs w:val="24"/>
                <w:lang w:eastAsia="en-GB"/>
              </w:rPr>
              <w:t xml:space="preserve">Overall </w:t>
            </w:r>
            <w:r w:rsidR="00ED3FF0">
              <w:rPr>
                <w:rFonts w:ascii="Gill Sans" w:eastAsia="Times New Roman" w:hAnsi="Gill Sans" w:cs="Times New Roman"/>
                <w:b/>
                <w:color w:val="000000" w:themeColor="text1"/>
                <w:szCs w:val="24"/>
                <w:lang w:eastAsia="en-GB"/>
              </w:rPr>
              <w:t>FOIs and EIRs</w:t>
            </w:r>
            <w:r w:rsidR="002F4631">
              <w:rPr>
                <w:rFonts w:ascii="Gill Sans" w:eastAsia="Times New Roman" w:hAnsi="Gill Sans" w:cs="Times New Roman"/>
                <w:b/>
                <w:color w:val="000000" w:themeColor="text1"/>
                <w:szCs w:val="24"/>
                <w:lang w:eastAsia="en-GB"/>
              </w:rPr>
              <w:t xml:space="preserve"> for 202</w:t>
            </w:r>
            <w:r w:rsidR="00A02ED1">
              <w:rPr>
                <w:rFonts w:ascii="Gill Sans" w:eastAsia="Times New Roman" w:hAnsi="Gill Sans" w:cs="Times New Roman"/>
                <w:b/>
                <w:color w:val="000000" w:themeColor="text1"/>
                <w:szCs w:val="24"/>
                <w:lang w:eastAsia="en-GB"/>
              </w:rPr>
              <w:t>2</w:t>
            </w:r>
          </w:p>
        </w:tc>
      </w:tr>
      <w:tr w:rsidR="00C43791" w:rsidRPr="00F76ADA" w14:paraId="08BCE124" w14:textId="77777777" w:rsidTr="00F14CAF">
        <w:trPr>
          <w:trHeight w:val="368"/>
        </w:trPr>
        <w:tc>
          <w:tcPr>
            <w:tcW w:w="3846" w:type="dxa"/>
            <w:shd w:val="clear" w:color="auto" w:fill="D9D9D9" w:themeFill="background1" w:themeFillShade="D9"/>
            <w:vAlign w:val="center"/>
          </w:tcPr>
          <w:p w14:paraId="3A3D4E08" w14:textId="77777777" w:rsidR="00C43791" w:rsidRPr="000423F5" w:rsidRDefault="00C43791" w:rsidP="00ED3FF0">
            <w:pPr>
              <w:jc w:val="center"/>
              <w:rPr>
                <w:rFonts w:ascii="Gill Sans" w:hAnsi="Gill Sans"/>
                <w:b/>
                <w:sz w:val="18"/>
              </w:rPr>
            </w:pPr>
            <w:r w:rsidRPr="000423F5">
              <w:rPr>
                <w:rFonts w:ascii="Gill Sans" w:hAnsi="Gill Sans"/>
                <w:b/>
                <w:sz w:val="18"/>
              </w:rPr>
              <w:t>Number received</w:t>
            </w:r>
          </w:p>
        </w:tc>
        <w:tc>
          <w:tcPr>
            <w:tcW w:w="3469" w:type="dxa"/>
            <w:shd w:val="clear" w:color="auto" w:fill="D9D9D9" w:themeFill="background1" w:themeFillShade="D9"/>
            <w:vAlign w:val="center"/>
          </w:tcPr>
          <w:p w14:paraId="5CE765F7" w14:textId="77777777" w:rsidR="00C43791" w:rsidRPr="000423F5" w:rsidRDefault="00C43791" w:rsidP="00CA2DEC">
            <w:pPr>
              <w:jc w:val="center"/>
              <w:rPr>
                <w:rFonts w:ascii="Gill Sans" w:eastAsia="Times New Roman" w:hAnsi="Gill Sans" w:cs="Times New Roman"/>
                <w:b/>
                <w:color w:val="000000" w:themeColor="text1"/>
                <w:sz w:val="18"/>
                <w:szCs w:val="24"/>
                <w:lang w:eastAsia="en-GB"/>
              </w:rPr>
            </w:pPr>
            <w:r w:rsidRPr="000423F5">
              <w:rPr>
                <w:rFonts w:ascii="Gill Sans" w:eastAsia="Times New Roman" w:hAnsi="Gill Sans" w:cs="Times New Roman"/>
                <w:b/>
                <w:color w:val="000000" w:themeColor="text1"/>
                <w:sz w:val="18"/>
                <w:szCs w:val="24"/>
                <w:lang w:eastAsia="en-GB"/>
              </w:rPr>
              <w:t>Percentage completed within statutory deadline</w:t>
            </w:r>
          </w:p>
        </w:tc>
        <w:tc>
          <w:tcPr>
            <w:tcW w:w="3141" w:type="dxa"/>
            <w:shd w:val="clear" w:color="auto" w:fill="D9D9D9" w:themeFill="background1" w:themeFillShade="D9"/>
          </w:tcPr>
          <w:p w14:paraId="343FA580" w14:textId="77777777" w:rsidR="00C43791" w:rsidRPr="00C43791" w:rsidRDefault="00C43791" w:rsidP="00CA2DEC">
            <w:pPr>
              <w:jc w:val="center"/>
              <w:rPr>
                <w:rFonts w:ascii="Gill Sans" w:eastAsia="Times New Roman" w:hAnsi="Gill Sans" w:cs="Times New Roman"/>
                <w:b/>
                <w:color w:val="000000" w:themeColor="text1"/>
                <w:sz w:val="18"/>
                <w:szCs w:val="24"/>
                <w:lang w:eastAsia="en-GB"/>
              </w:rPr>
            </w:pPr>
            <w:r w:rsidRPr="00C43791">
              <w:rPr>
                <w:rFonts w:ascii="Gill Sans" w:eastAsia="Times New Roman" w:hAnsi="Gill Sans" w:cs="Times New Roman"/>
                <w:b/>
                <w:color w:val="000000" w:themeColor="text1"/>
                <w:sz w:val="18"/>
                <w:szCs w:val="24"/>
                <w:lang w:eastAsia="en-GB"/>
              </w:rPr>
              <w:t>ICO Statutory performance requirement</w:t>
            </w:r>
          </w:p>
        </w:tc>
      </w:tr>
      <w:tr w:rsidR="00C43791" w:rsidRPr="00F76ADA" w14:paraId="481E2C53" w14:textId="77777777" w:rsidTr="00F14CAF">
        <w:tc>
          <w:tcPr>
            <w:tcW w:w="3846" w:type="dxa"/>
            <w:shd w:val="clear" w:color="auto" w:fill="auto"/>
            <w:vAlign w:val="center"/>
          </w:tcPr>
          <w:p w14:paraId="5115DA0D" w14:textId="77777777" w:rsidR="00C43791" w:rsidRPr="00732B64" w:rsidRDefault="00C43791" w:rsidP="002E278F">
            <w:pPr>
              <w:jc w:val="center"/>
              <w:rPr>
                <w:rFonts w:ascii="Gill Sans" w:hAnsi="Gill Sans"/>
                <w:b/>
                <w:sz w:val="18"/>
              </w:rPr>
            </w:pPr>
          </w:p>
          <w:p w14:paraId="4E5AF27F" w14:textId="08E57147" w:rsidR="00C43791" w:rsidRPr="00732B64" w:rsidRDefault="002F4631" w:rsidP="00270B62">
            <w:pPr>
              <w:jc w:val="center"/>
              <w:rPr>
                <w:rFonts w:ascii="Gill Sans" w:hAnsi="Gill Sans"/>
                <w:b/>
              </w:rPr>
            </w:pPr>
            <w:r>
              <w:rPr>
                <w:rFonts w:ascii="Gill Sans" w:hAnsi="Gill Sans"/>
                <w:b/>
              </w:rPr>
              <w:t>1,</w:t>
            </w:r>
            <w:r w:rsidR="00137E17">
              <w:rPr>
                <w:rFonts w:ascii="Gill Sans" w:hAnsi="Gill Sans"/>
                <w:b/>
              </w:rPr>
              <w:t>6</w:t>
            </w:r>
            <w:r w:rsidR="00122F5E">
              <w:rPr>
                <w:rFonts w:ascii="Gill Sans" w:hAnsi="Gill Sans"/>
                <w:b/>
              </w:rPr>
              <w:t>7</w:t>
            </w:r>
            <w:r w:rsidR="00677516">
              <w:rPr>
                <w:rFonts w:ascii="Gill Sans" w:hAnsi="Gill Sans"/>
                <w:b/>
              </w:rPr>
              <w:t>5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1215E0CF" w14:textId="77777777" w:rsidR="00C43791" w:rsidRPr="00732B64" w:rsidRDefault="00C43791" w:rsidP="002E278F">
            <w:pPr>
              <w:jc w:val="center"/>
              <w:rPr>
                <w:rFonts w:ascii="Gill Sans" w:eastAsia="Times New Roman" w:hAnsi="Gill Sans" w:cs="Times New Roman"/>
                <w:b/>
                <w:color w:val="000000" w:themeColor="text1"/>
                <w:sz w:val="18"/>
                <w:szCs w:val="24"/>
                <w:lang w:eastAsia="en-GB"/>
              </w:rPr>
            </w:pPr>
          </w:p>
          <w:p w14:paraId="6C5E238A" w14:textId="39FC2425" w:rsidR="00C43791" w:rsidRPr="00732B64" w:rsidRDefault="00821296" w:rsidP="00E37232">
            <w:pPr>
              <w:jc w:val="center"/>
              <w:rPr>
                <w:rFonts w:ascii="Gill Sans" w:eastAsia="Times New Roman" w:hAnsi="Gill Sans" w:cs="Times New Roman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4808F7">
              <w:rPr>
                <w:rFonts w:ascii="Gill Sans" w:eastAsia="Times New Roman" w:hAnsi="Gill Sans" w:cs="Times New Roman"/>
                <w:b/>
                <w:color w:val="FF0000"/>
                <w:sz w:val="24"/>
                <w:szCs w:val="24"/>
                <w:lang w:eastAsia="en-GB"/>
              </w:rPr>
              <w:t>8</w:t>
            </w:r>
            <w:r w:rsidR="004A04C0">
              <w:rPr>
                <w:rFonts w:ascii="Gill Sans" w:eastAsia="Times New Roman" w:hAnsi="Gill Sans" w:cs="Times New Roman"/>
                <w:b/>
                <w:color w:val="FF0000"/>
                <w:sz w:val="24"/>
                <w:szCs w:val="24"/>
                <w:lang w:eastAsia="en-GB"/>
              </w:rPr>
              <w:t>9</w:t>
            </w:r>
            <w:r w:rsidRPr="004808F7">
              <w:rPr>
                <w:rFonts w:ascii="Gill Sans" w:eastAsia="Times New Roman" w:hAnsi="Gill Sans" w:cs="Times New Roman"/>
                <w:b/>
                <w:color w:val="FF0000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3141" w:type="dxa"/>
            <w:vAlign w:val="center"/>
          </w:tcPr>
          <w:p w14:paraId="728643C4" w14:textId="77777777" w:rsidR="00C43791" w:rsidRPr="00732B64" w:rsidRDefault="00C43791" w:rsidP="002E278F">
            <w:pPr>
              <w:jc w:val="center"/>
              <w:rPr>
                <w:rFonts w:ascii="Gill Sans" w:eastAsia="Times New Roman" w:hAnsi="Gill Sans" w:cs="Times New Roman"/>
                <w:b/>
                <w:color w:val="000000" w:themeColor="text1"/>
                <w:sz w:val="18"/>
                <w:szCs w:val="24"/>
                <w:lang w:eastAsia="en-GB"/>
              </w:rPr>
            </w:pPr>
          </w:p>
          <w:p w14:paraId="23E29FEE" w14:textId="16D62E39" w:rsidR="00C43791" w:rsidRPr="00732B64" w:rsidRDefault="00821296" w:rsidP="002E278F">
            <w:pPr>
              <w:jc w:val="center"/>
              <w:rPr>
                <w:rFonts w:ascii="Gill Sans" w:eastAsia="Times New Roman" w:hAnsi="Gill Sans" w:cs="Times New Roman"/>
                <w:b/>
                <w:color w:val="000000" w:themeColor="text1"/>
                <w:sz w:val="20"/>
                <w:szCs w:val="24"/>
                <w:lang w:eastAsia="en-GB"/>
              </w:rPr>
            </w:pPr>
            <w:r>
              <w:rPr>
                <w:rFonts w:ascii="Gill Sans" w:eastAsia="Times New Roman" w:hAnsi="Gill Sans" w:cs="Times New Roman"/>
                <w:b/>
                <w:color w:val="000000" w:themeColor="text1"/>
                <w:szCs w:val="24"/>
                <w:lang w:eastAsia="en-GB"/>
              </w:rPr>
              <w:t>90</w:t>
            </w:r>
            <w:r w:rsidR="00C43791" w:rsidRPr="00732B64">
              <w:rPr>
                <w:rFonts w:ascii="Gill Sans" w:eastAsia="Times New Roman" w:hAnsi="Gill Sans" w:cs="Times New Roman"/>
                <w:b/>
                <w:color w:val="000000" w:themeColor="text1"/>
                <w:szCs w:val="24"/>
                <w:lang w:eastAsia="en-GB"/>
              </w:rPr>
              <w:t>%</w:t>
            </w:r>
          </w:p>
        </w:tc>
      </w:tr>
    </w:tbl>
    <w:p w14:paraId="48975534" w14:textId="77777777" w:rsidR="00F14CAF" w:rsidRDefault="00F14CAF" w:rsidP="00732B64">
      <w:pPr>
        <w:rPr>
          <w:rFonts w:ascii="Gill Sans" w:hAnsi="Gill San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52"/>
        <w:gridCol w:w="2552"/>
        <w:gridCol w:w="2552"/>
      </w:tblGrid>
      <w:tr w:rsidR="00122F5E" w14:paraId="11486CF9" w14:textId="77777777" w:rsidTr="008341BE">
        <w:trPr>
          <w:trHeight w:val="397"/>
          <w:jc w:val="center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D5D9D14" w14:textId="50BF65E6" w:rsidR="00122F5E" w:rsidRPr="00154491" w:rsidRDefault="00122F5E" w:rsidP="00122F5E">
            <w:pPr>
              <w:jc w:val="center"/>
              <w:rPr>
                <w:rFonts w:ascii="Gill Sans" w:hAnsi="Gill Sans"/>
                <w:b/>
              </w:rPr>
            </w:pPr>
            <w:r w:rsidRPr="00154491">
              <w:rPr>
                <w:rFonts w:ascii="Gill Sans" w:hAnsi="Gill Sans"/>
                <w:b/>
              </w:rPr>
              <w:t>20</w:t>
            </w:r>
            <w:r>
              <w:rPr>
                <w:rFonts w:ascii="Gill Sans" w:hAnsi="Gill Sans"/>
                <w:b/>
              </w:rPr>
              <w:t>20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57E1E26" w14:textId="67E46DFF" w:rsidR="00122F5E" w:rsidRPr="00154491" w:rsidRDefault="00122F5E" w:rsidP="00122F5E">
            <w:pPr>
              <w:jc w:val="center"/>
              <w:rPr>
                <w:rFonts w:ascii="Gill Sans" w:hAnsi="Gill Sans"/>
                <w:b/>
              </w:rPr>
            </w:pPr>
            <w:r w:rsidRPr="00154491">
              <w:rPr>
                <w:rFonts w:ascii="Gill Sans" w:hAnsi="Gill Sans"/>
                <w:b/>
              </w:rPr>
              <w:t>202</w:t>
            </w:r>
            <w:r>
              <w:rPr>
                <w:rFonts w:ascii="Gill Sans" w:hAnsi="Gill Sans"/>
                <w:b/>
              </w:rPr>
              <w:t>1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5ADA2B9" w14:textId="3ADC69CE" w:rsidR="00122F5E" w:rsidRPr="00154491" w:rsidRDefault="00122F5E" w:rsidP="00122F5E">
            <w:pPr>
              <w:jc w:val="center"/>
              <w:rPr>
                <w:rFonts w:ascii="Gill Sans" w:hAnsi="Gill Sans"/>
                <w:b/>
              </w:rPr>
            </w:pPr>
            <w:r w:rsidRPr="00154491">
              <w:rPr>
                <w:rFonts w:ascii="Gill Sans" w:hAnsi="Gill Sans"/>
                <w:b/>
              </w:rPr>
              <w:t>202</w:t>
            </w:r>
            <w:r>
              <w:rPr>
                <w:rFonts w:ascii="Gill Sans" w:hAnsi="Gill Sans"/>
                <w:b/>
              </w:rPr>
              <w:t>2</w:t>
            </w:r>
          </w:p>
        </w:tc>
      </w:tr>
      <w:tr w:rsidR="00122F5E" w14:paraId="21345221" w14:textId="77777777" w:rsidTr="008341BE">
        <w:trPr>
          <w:trHeight w:val="397"/>
          <w:jc w:val="center"/>
        </w:trPr>
        <w:tc>
          <w:tcPr>
            <w:tcW w:w="2552" w:type="dxa"/>
            <w:vAlign w:val="center"/>
          </w:tcPr>
          <w:p w14:paraId="04DD00BD" w14:textId="59B4F834" w:rsidR="00122F5E" w:rsidRDefault="00122F5E" w:rsidP="00122F5E">
            <w:pPr>
              <w:jc w:val="center"/>
              <w:rPr>
                <w:rFonts w:ascii="Gill Sans" w:hAnsi="Gill Sans"/>
              </w:rPr>
            </w:pPr>
            <w:r>
              <w:rPr>
                <w:rFonts w:ascii="Gill Sans" w:hAnsi="Gill Sans"/>
              </w:rPr>
              <w:t>1,688</w:t>
            </w:r>
          </w:p>
        </w:tc>
        <w:tc>
          <w:tcPr>
            <w:tcW w:w="2552" w:type="dxa"/>
            <w:vAlign w:val="center"/>
          </w:tcPr>
          <w:p w14:paraId="79E17B79" w14:textId="415CBAA2" w:rsidR="00122F5E" w:rsidRDefault="00122F5E" w:rsidP="00122F5E">
            <w:pPr>
              <w:jc w:val="center"/>
              <w:rPr>
                <w:rFonts w:ascii="Gill Sans" w:hAnsi="Gill Sans"/>
              </w:rPr>
            </w:pPr>
            <w:r>
              <w:rPr>
                <w:rFonts w:ascii="Gill Sans" w:hAnsi="Gill Sans"/>
              </w:rPr>
              <w:t>1,698</w:t>
            </w:r>
          </w:p>
        </w:tc>
        <w:tc>
          <w:tcPr>
            <w:tcW w:w="2552" w:type="dxa"/>
            <w:vAlign w:val="center"/>
          </w:tcPr>
          <w:p w14:paraId="2F606CA2" w14:textId="3A38CD93" w:rsidR="00122F5E" w:rsidRDefault="00122F5E" w:rsidP="00122F5E">
            <w:pPr>
              <w:jc w:val="center"/>
              <w:rPr>
                <w:rFonts w:ascii="Gill Sans" w:hAnsi="Gill Sans"/>
              </w:rPr>
            </w:pPr>
            <w:r>
              <w:rPr>
                <w:rFonts w:ascii="Gill Sans" w:hAnsi="Gill Sans"/>
              </w:rPr>
              <w:t>1,67</w:t>
            </w:r>
            <w:r w:rsidR="00677516">
              <w:rPr>
                <w:rFonts w:ascii="Gill Sans" w:hAnsi="Gill Sans"/>
              </w:rPr>
              <w:t>5</w:t>
            </w:r>
          </w:p>
        </w:tc>
      </w:tr>
      <w:tr w:rsidR="00122F5E" w14:paraId="2D689340" w14:textId="77777777" w:rsidTr="008341BE">
        <w:trPr>
          <w:trHeight w:val="397"/>
          <w:jc w:val="center"/>
        </w:trPr>
        <w:tc>
          <w:tcPr>
            <w:tcW w:w="2552" w:type="dxa"/>
            <w:vAlign w:val="center"/>
          </w:tcPr>
          <w:p w14:paraId="0BDACD73" w14:textId="0EA2BFF4" w:rsidR="00122F5E" w:rsidRPr="004808F7" w:rsidRDefault="00122F5E" w:rsidP="00122F5E">
            <w:pPr>
              <w:jc w:val="center"/>
              <w:rPr>
                <w:rFonts w:ascii="Gill Sans" w:hAnsi="Gill Sans"/>
                <w:color w:val="FF0000"/>
              </w:rPr>
            </w:pPr>
            <w:r w:rsidRPr="004808F7">
              <w:rPr>
                <w:rFonts w:ascii="Gill Sans" w:hAnsi="Gill Sans"/>
                <w:color w:val="FF0000"/>
              </w:rPr>
              <w:t>89%</w:t>
            </w:r>
          </w:p>
        </w:tc>
        <w:tc>
          <w:tcPr>
            <w:tcW w:w="2552" w:type="dxa"/>
            <w:vAlign w:val="center"/>
          </w:tcPr>
          <w:p w14:paraId="008C62FF" w14:textId="1D70C161" w:rsidR="00122F5E" w:rsidRPr="004808F7" w:rsidRDefault="00122F5E" w:rsidP="00122F5E">
            <w:pPr>
              <w:jc w:val="center"/>
              <w:rPr>
                <w:rFonts w:ascii="Gill Sans" w:hAnsi="Gill Sans"/>
                <w:color w:val="FF0000"/>
              </w:rPr>
            </w:pPr>
            <w:r w:rsidRPr="004808F7">
              <w:rPr>
                <w:rFonts w:ascii="Gill Sans" w:hAnsi="Gill Sans"/>
                <w:color w:val="FF0000"/>
              </w:rPr>
              <w:t>86%</w:t>
            </w:r>
          </w:p>
        </w:tc>
        <w:tc>
          <w:tcPr>
            <w:tcW w:w="2552" w:type="dxa"/>
            <w:vAlign w:val="center"/>
          </w:tcPr>
          <w:p w14:paraId="45782678" w14:textId="3D3F2C84" w:rsidR="00122F5E" w:rsidRPr="004808F7" w:rsidRDefault="00122F5E" w:rsidP="00122F5E">
            <w:pPr>
              <w:jc w:val="center"/>
              <w:rPr>
                <w:rFonts w:ascii="Gill Sans" w:hAnsi="Gill Sans"/>
                <w:color w:val="FF0000"/>
              </w:rPr>
            </w:pPr>
            <w:r w:rsidRPr="004808F7">
              <w:rPr>
                <w:rFonts w:ascii="Gill Sans" w:hAnsi="Gill Sans"/>
                <w:color w:val="FF0000"/>
              </w:rPr>
              <w:t>8</w:t>
            </w:r>
            <w:r w:rsidR="00677516" w:rsidRPr="004808F7">
              <w:rPr>
                <w:rFonts w:ascii="Gill Sans" w:hAnsi="Gill Sans"/>
                <w:color w:val="FF0000"/>
              </w:rPr>
              <w:t>8</w:t>
            </w:r>
            <w:r w:rsidRPr="004808F7">
              <w:rPr>
                <w:rFonts w:ascii="Gill Sans" w:hAnsi="Gill Sans"/>
                <w:color w:val="FF0000"/>
              </w:rPr>
              <w:t>%</w:t>
            </w:r>
          </w:p>
        </w:tc>
      </w:tr>
    </w:tbl>
    <w:p w14:paraId="190078F9" w14:textId="2930D77D" w:rsidR="00CA7D76" w:rsidRDefault="00CA7D76" w:rsidP="00732B64">
      <w:pPr>
        <w:rPr>
          <w:rFonts w:ascii="Gill Sans" w:hAnsi="Gill Sans"/>
        </w:rPr>
      </w:pPr>
    </w:p>
    <w:p w14:paraId="51C79247" w14:textId="77777777" w:rsidR="001362A2" w:rsidRDefault="001362A2" w:rsidP="00732B64">
      <w:pPr>
        <w:rPr>
          <w:rFonts w:ascii="Gill Sans" w:hAnsi="Gill Sans"/>
        </w:rPr>
      </w:pPr>
    </w:p>
    <w:p w14:paraId="422DAD9E" w14:textId="77777777" w:rsidR="00732B64" w:rsidRPr="00CA7D76" w:rsidRDefault="00732B64" w:rsidP="00732B64">
      <w:pPr>
        <w:rPr>
          <w:rFonts w:ascii="Gill Sans" w:hAnsi="Gill Sans"/>
          <w:b/>
          <w:sz w:val="24"/>
          <w:u w:val="single"/>
        </w:rPr>
      </w:pPr>
      <w:r w:rsidRPr="00CA7D76">
        <w:rPr>
          <w:rFonts w:ascii="Gill Sans" w:hAnsi="Gill Sans"/>
          <w:b/>
          <w:sz w:val="24"/>
          <w:u w:val="single"/>
        </w:rPr>
        <w:t>BY REQUEST TYPE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461"/>
        <w:gridCol w:w="1898"/>
        <w:gridCol w:w="1320"/>
      </w:tblGrid>
      <w:tr w:rsidR="00732B64" w14:paraId="22FE0CBA" w14:textId="77777777" w:rsidTr="00EB0791">
        <w:trPr>
          <w:trHeight w:val="309"/>
        </w:trPr>
        <w:tc>
          <w:tcPr>
            <w:tcW w:w="4679" w:type="dxa"/>
            <w:gridSpan w:val="3"/>
            <w:shd w:val="clear" w:color="auto" w:fill="D9D9D9" w:themeFill="background1" w:themeFillShade="D9"/>
            <w:vAlign w:val="center"/>
          </w:tcPr>
          <w:p w14:paraId="6D6A52F9" w14:textId="70E79DD8" w:rsidR="00732B64" w:rsidRPr="001B70C4" w:rsidRDefault="002F4631" w:rsidP="00176E43">
            <w:pPr>
              <w:jc w:val="center"/>
              <w:rPr>
                <w:rFonts w:ascii="Gill Sans" w:hAnsi="Gill Sans"/>
                <w:b/>
                <w:sz w:val="20"/>
              </w:rPr>
            </w:pPr>
            <w:r>
              <w:rPr>
                <w:rFonts w:ascii="Gill Sans" w:hAnsi="Gill Sans"/>
                <w:b/>
                <w:sz w:val="20"/>
              </w:rPr>
              <w:t>EIR Requests in 20</w:t>
            </w:r>
            <w:r w:rsidR="0065711A">
              <w:rPr>
                <w:rFonts w:ascii="Gill Sans" w:hAnsi="Gill Sans"/>
                <w:b/>
                <w:sz w:val="20"/>
              </w:rPr>
              <w:t>2</w:t>
            </w:r>
            <w:r w:rsidR="005E281C">
              <w:rPr>
                <w:rFonts w:ascii="Gill Sans" w:hAnsi="Gill Sans"/>
                <w:b/>
                <w:sz w:val="20"/>
              </w:rPr>
              <w:t>2</w:t>
            </w:r>
          </w:p>
        </w:tc>
      </w:tr>
      <w:tr w:rsidR="00732B64" w14:paraId="2291E751" w14:textId="77777777" w:rsidTr="00C53DCC">
        <w:trPr>
          <w:trHeight w:val="276"/>
        </w:trPr>
        <w:tc>
          <w:tcPr>
            <w:tcW w:w="1461" w:type="dxa"/>
            <w:vAlign w:val="center"/>
          </w:tcPr>
          <w:p w14:paraId="073AEF33" w14:textId="77777777" w:rsidR="00732B64" w:rsidRPr="001B70C4" w:rsidRDefault="00732B64" w:rsidP="00176E43">
            <w:pPr>
              <w:jc w:val="center"/>
              <w:rPr>
                <w:rFonts w:ascii="Gill Sans" w:hAnsi="Gill Sans"/>
                <w:b/>
                <w:sz w:val="18"/>
              </w:rPr>
            </w:pPr>
            <w:r w:rsidRPr="001B70C4">
              <w:rPr>
                <w:rFonts w:ascii="Gill Sans" w:hAnsi="Gill Sans"/>
                <w:b/>
                <w:sz w:val="18"/>
              </w:rPr>
              <w:t>No. received</w:t>
            </w:r>
          </w:p>
        </w:tc>
        <w:tc>
          <w:tcPr>
            <w:tcW w:w="1898" w:type="dxa"/>
            <w:vAlign w:val="center"/>
          </w:tcPr>
          <w:p w14:paraId="7AF730C5" w14:textId="77777777" w:rsidR="00732B64" w:rsidRPr="001B70C4" w:rsidRDefault="00732B64" w:rsidP="00176E43">
            <w:pPr>
              <w:jc w:val="center"/>
              <w:rPr>
                <w:rFonts w:ascii="Gill Sans" w:hAnsi="Gill Sans"/>
                <w:b/>
                <w:sz w:val="18"/>
              </w:rPr>
            </w:pPr>
            <w:r w:rsidRPr="001B70C4">
              <w:rPr>
                <w:rFonts w:ascii="Gill Sans" w:hAnsi="Gill Sans"/>
                <w:b/>
                <w:sz w:val="18"/>
              </w:rPr>
              <w:t>No. on time</w:t>
            </w:r>
          </w:p>
        </w:tc>
        <w:tc>
          <w:tcPr>
            <w:tcW w:w="1320" w:type="dxa"/>
            <w:vAlign w:val="center"/>
          </w:tcPr>
          <w:p w14:paraId="7816ED13" w14:textId="77777777" w:rsidR="00732B64" w:rsidRPr="001B70C4" w:rsidRDefault="00732B64" w:rsidP="00176E43">
            <w:pPr>
              <w:jc w:val="center"/>
              <w:rPr>
                <w:rFonts w:ascii="Gill Sans" w:hAnsi="Gill Sans"/>
                <w:b/>
                <w:sz w:val="18"/>
              </w:rPr>
            </w:pPr>
            <w:r w:rsidRPr="001B70C4">
              <w:rPr>
                <w:rFonts w:ascii="Gill Sans" w:hAnsi="Gill Sans"/>
                <w:b/>
                <w:sz w:val="18"/>
              </w:rPr>
              <w:t>Percentage</w:t>
            </w:r>
          </w:p>
        </w:tc>
      </w:tr>
      <w:tr w:rsidR="00732B64" w14:paraId="3396FECF" w14:textId="77777777" w:rsidTr="00775D36">
        <w:trPr>
          <w:trHeight w:val="341"/>
        </w:trPr>
        <w:tc>
          <w:tcPr>
            <w:tcW w:w="1461" w:type="dxa"/>
            <w:vAlign w:val="center"/>
          </w:tcPr>
          <w:p w14:paraId="5263DA2D" w14:textId="59A88172" w:rsidR="00732B64" w:rsidRDefault="002F4631" w:rsidP="00176E43">
            <w:pPr>
              <w:jc w:val="center"/>
              <w:rPr>
                <w:rFonts w:ascii="Gill Sans" w:hAnsi="Gill Sans"/>
              </w:rPr>
            </w:pPr>
            <w:r>
              <w:rPr>
                <w:rFonts w:ascii="Gill Sans" w:hAnsi="Gill Sans"/>
              </w:rPr>
              <w:t>1</w:t>
            </w:r>
            <w:r w:rsidR="005E281C">
              <w:rPr>
                <w:rFonts w:ascii="Gill Sans" w:hAnsi="Gill Sans"/>
              </w:rPr>
              <w:t>2</w:t>
            </w:r>
            <w:r w:rsidR="00677516">
              <w:rPr>
                <w:rFonts w:ascii="Gill Sans" w:hAnsi="Gill Sans"/>
              </w:rPr>
              <w:t>8</w:t>
            </w:r>
          </w:p>
        </w:tc>
        <w:tc>
          <w:tcPr>
            <w:tcW w:w="1898" w:type="dxa"/>
            <w:vAlign w:val="center"/>
          </w:tcPr>
          <w:p w14:paraId="5BB5E2B0" w14:textId="556A2FA8" w:rsidR="00732B64" w:rsidRDefault="00DB2D96" w:rsidP="00176E43">
            <w:pPr>
              <w:jc w:val="center"/>
              <w:rPr>
                <w:rFonts w:ascii="Gill Sans" w:hAnsi="Gill Sans"/>
              </w:rPr>
            </w:pPr>
            <w:r>
              <w:rPr>
                <w:rFonts w:ascii="Gill Sans" w:hAnsi="Gill Sans"/>
              </w:rPr>
              <w:t>1</w:t>
            </w:r>
            <w:r w:rsidR="0056068B">
              <w:rPr>
                <w:rFonts w:ascii="Gill Sans" w:hAnsi="Gill Sans"/>
              </w:rPr>
              <w:t>14</w:t>
            </w:r>
          </w:p>
        </w:tc>
        <w:tc>
          <w:tcPr>
            <w:tcW w:w="1320" w:type="dxa"/>
            <w:vAlign w:val="center"/>
          </w:tcPr>
          <w:p w14:paraId="6BC65AD1" w14:textId="257834B7" w:rsidR="00732B64" w:rsidRDefault="005E281C" w:rsidP="00176E43">
            <w:pPr>
              <w:jc w:val="center"/>
              <w:rPr>
                <w:rFonts w:ascii="Gill Sans" w:hAnsi="Gill Sans"/>
              </w:rPr>
            </w:pPr>
            <w:r w:rsidRPr="004808F7">
              <w:rPr>
                <w:rFonts w:ascii="Gill Sans" w:hAnsi="Gill Sans"/>
                <w:color w:val="FF0000"/>
              </w:rPr>
              <w:t>8</w:t>
            </w:r>
            <w:r w:rsidR="0056068B" w:rsidRPr="004808F7">
              <w:rPr>
                <w:rFonts w:ascii="Gill Sans" w:hAnsi="Gill Sans"/>
                <w:color w:val="FF0000"/>
              </w:rPr>
              <w:t>9</w:t>
            </w:r>
            <w:r w:rsidR="00F03FF6" w:rsidRPr="004808F7">
              <w:rPr>
                <w:rFonts w:ascii="Gill Sans" w:hAnsi="Gill Sans"/>
                <w:color w:val="FF0000"/>
              </w:rPr>
              <w:t>%</w:t>
            </w:r>
          </w:p>
        </w:tc>
      </w:tr>
    </w:tbl>
    <w:tbl>
      <w:tblPr>
        <w:tblStyle w:val="TableGrid"/>
        <w:tblpPr w:leftFromText="180" w:rightFromText="180" w:vertAnchor="text" w:horzAnchor="page" w:tblpX="6091" w:tblpY="-981"/>
        <w:tblW w:w="0" w:type="auto"/>
        <w:tblLook w:val="04A0" w:firstRow="1" w:lastRow="0" w:firstColumn="1" w:lastColumn="0" w:noHBand="0" w:noVBand="1"/>
      </w:tblPr>
      <w:tblGrid>
        <w:gridCol w:w="1441"/>
        <w:gridCol w:w="1673"/>
        <w:gridCol w:w="1417"/>
      </w:tblGrid>
      <w:tr w:rsidR="00EE32B4" w14:paraId="798AC98B" w14:textId="77777777" w:rsidTr="00EB0791">
        <w:trPr>
          <w:trHeight w:val="277"/>
        </w:trPr>
        <w:tc>
          <w:tcPr>
            <w:tcW w:w="4531" w:type="dxa"/>
            <w:gridSpan w:val="3"/>
            <w:shd w:val="clear" w:color="auto" w:fill="D9D9D9" w:themeFill="background1" w:themeFillShade="D9"/>
            <w:vAlign w:val="center"/>
          </w:tcPr>
          <w:p w14:paraId="42BA20D8" w14:textId="7CD7EB7C" w:rsidR="00EE32B4" w:rsidRPr="001B70C4" w:rsidRDefault="00EE32B4" w:rsidP="00EE32B4">
            <w:pPr>
              <w:jc w:val="center"/>
              <w:rPr>
                <w:rFonts w:ascii="Gill Sans" w:hAnsi="Gill Sans"/>
                <w:b/>
                <w:sz w:val="20"/>
              </w:rPr>
            </w:pPr>
            <w:r>
              <w:rPr>
                <w:rFonts w:ascii="Gill Sans" w:hAnsi="Gill Sans"/>
                <w:b/>
                <w:sz w:val="20"/>
              </w:rPr>
              <w:t>FOI Requests in 202</w:t>
            </w:r>
            <w:r w:rsidR="005E281C">
              <w:rPr>
                <w:rFonts w:ascii="Gill Sans" w:hAnsi="Gill Sans"/>
                <w:b/>
                <w:sz w:val="20"/>
              </w:rPr>
              <w:t>2</w:t>
            </w:r>
          </w:p>
        </w:tc>
      </w:tr>
      <w:tr w:rsidR="00EE32B4" w14:paraId="25975E65" w14:textId="77777777" w:rsidTr="00EE32B4">
        <w:trPr>
          <w:trHeight w:val="308"/>
        </w:trPr>
        <w:tc>
          <w:tcPr>
            <w:tcW w:w="1441" w:type="dxa"/>
            <w:vAlign w:val="center"/>
          </w:tcPr>
          <w:p w14:paraId="5C62D9D9" w14:textId="77777777" w:rsidR="00EE32B4" w:rsidRPr="001B70C4" w:rsidRDefault="00EE32B4" w:rsidP="00EE32B4">
            <w:pPr>
              <w:jc w:val="center"/>
              <w:rPr>
                <w:rFonts w:ascii="Gill Sans" w:hAnsi="Gill Sans"/>
                <w:b/>
                <w:sz w:val="18"/>
              </w:rPr>
            </w:pPr>
            <w:r w:rsidRPr="001B70C4">
              <w:rPr>
                <w:rFonts w:ascii="Gill Sans" w:hAnsi="Gill Sans"/>
                <w:b/>
                <w:sz w:val="18"/>
              </w:rPr>
              <w:t>No. received</w:t>
            </w:r>
          </w:p>
        </w:tc>
        <w:tc>
          <w:tcPr>
            <w:tcW w:w="1673" w:type="dxa"/>
            <w:vAlign w:val="center"/>
          </w:tcPr>
          <w:p w14:paraId="574C3984" w14:textId="77777777" w:rsidR="00EE32B4" w:rsidRPr="001B70C4" w:rsidRDefault="00EE32B4" w:rsidP="00EE32B4">
            <w:pPr>
              <w:jc w:val="center"/>
              <w:rPr>
                <w:rFonts w:ascii="Gill Sans" w:hAnsi="Gill Sans"/>
                <w:b/>
                <w:sz w:val="18"/>
              </w:rPr>
            </w:pPr>
            <w:r w:rsidRPr="001B70C4">
              <w:rPr>
                <w:rFonts w:ascii="Gill Sans" w:hAnsi="Gill Sans"/>
                <w:b/>
                <w:sz w:val="18"/>
              </w:rPr>
              <w:t>No. on time</w:t>
            </w:r>
          </w:p>
        </w:tc>
        <w:tc>
          <w:tcPr>
            <w:tcW w:w="1417" w:type="dxa"/>
            <w:vAlign w:val="center"/>
          </w:tcPr>
          <w:p w14:paraId="22475512" w14:textId="77777777" w:rsidR="00EE32B4" w:rsidRPr="001B70C4" w:rsidRDefault="00EE32B4" w:rsidP="00EE32B4">
            <w:pPr>
              <w:jc w:val="center"/>
              <w:rPr>
                <w:rFonts w:ascii="Gill Sans" w:hAnsi="Gill Sans"/>
                <w:b/>
                <w:sz w:val="18"/>
              </w:rPr>
            </w:pPr>
            <w:r w:rsidRPr="001B70C4">
              <w:rPr>
                <w:rFonts w:ascii="Gill Sans" w:hAnsi="Gill Sans"/>
                <w:b/>
                <w:sz w:val="18"/>
              </w:rPr>
              <w:t>Percentage</w:t>
            </w:r>
          </w:p>
        </w:tc>
      </w:tr>
      <w:tr w:rsidR="00EE32B4" w14:paraId="04EE6018" w14:textId="77777777" w:rsidTr="00EE32B4">
        <w:trPr>
          <w:trHeight w:val="368"/>
        </w:trPr>
        <w:tc>
          <w:tcPr>
            <w:tcW w:w="1441" w:type="dxa"/>
            <w:vAlign w:val="center"/>
          </w:tcPr>
          <w:p w14:paraId="3B0D0DC7" w14:textId="03CB7EA5" w:rsidR="00EE32B4" w:rsidRDefault="00EE32B4" w:rsidP="00EE32B4">
            <w:pPr>
              <w:jc w:val="center"/>
              <w:rPr>
                <w:rFonts w:ascii="Gill Sans" w:hAnsi="Gill Sans"/>
              </w:rPr>
            </w:pPr>
            <w:r>
              <w:rPr>
                <w:rFonts w:ascii="Gill Sans" w:hAnsi="Gill Sans"/>
              </w:rPr>
              <w:t>1,5</w:t>
            </w:r>
            <w:r w:rsidR="00677516">
              <w:rPr>
                <w:rFonts w:ascii="Gill Sans" w:hAnsi="Gill Sans"/>
              </w:rPr>
              <w:t>47</w:t>
            </w:r>
          </w:p>
        </w:tc>
        <w:tc>
          <w:tcPr>
            <w:tcW w:w="1673" w:type="dxa"/>
            <w:vAlign w:val="center"/>
          </w:tcPr>
          <w:p w14:paraId="7ED650E6" w14:textId="19373780" w:rsidR="00EE32B4" w:rsidRDefault="00EE32B4" w:rsidP="00EE32B4">
            <w:pPr>
              <w:jc w:val="center"/>
              <w:rPr>
                <w:rFonts w:ascii="Gill Sans" w:hAnsi="Gill Sans"/>
              </w:rPr>
            </w:pPr>
            <w:r>
              <w:rPr>
                <w:rFonts w:ascii="Gill Sans" w:hAnsi="Gill Sans"/>
              </w:rPr>
              <w:t>1,3</w:t>
            </w:r>
            <w:r w:rsidR="0056068B">
              <w:rPr>
                <w:rFonts w:ascii="Gill Sans" w:hAnsi="Gill Sans"/>
              </w:rPr>
              <w:t>73</w:t>
            </w:r>
          </w:p>
        </w:tc>
        <w:tc>
          <w:tcPr>
            <w:tcW w:w="1417" w:type="dxa"/>
            <w:vAlign w:val="center"/>
          </w:tcPr>
          <w:p w14:paraId="7EEA7DF0" w14:textId="4AD46C79" w:rsidR="00EE32B4" w:rsidRDefault="00EE32B4" w:rsidP="00EE32B4">
            <w:pPr>
              <w:jc w:val="center"/>
              <w:rPr>
                <w:rFonts w:ascii="Gill Sans" w:hAnsi="Gill Sans"/>
              </w:rPr>
            </w:pPr>
            <w:r w:rsidRPr="004808F7">
              <w:rPr>
                <w:rFonts w:ascii="Gill Sans" w:hAnsi="Gill Sans"/>
                <w:color w:val="FF0000"/>
              </w:rPr>
              <w:t>8</w:t>
            </w:r>
            <w:r w:rsidR="0056068B" w:rsidRPr="004808F7">
              <w:rPr>
                <w:rFonts w:ascii="Gill Sans" w:hAnsi="Gill Sans"/>
                <w:color w:val="FF0000"/>
              </w:rPr>
              <w:t>9</w:t>
            </w:r>
            <w:r w:rsidRPr="004808F7">
              <w:rPr>
                <w:rFonts w:ascii="Gill Sans" w:hAnsi="Gill Sans"/>
                <w:color w:val="FF0000"/>
              </w:rPr>
              <w:t>%</w:t>
            </w:r>
          </w:p>
        </w:tc>
      </w:tr>
    </w:tbl>
    <w:p w14:paraId="47E92E98" w14:textId="77777777" w:rsidR="00DB2D96" w:rsidRDefault="00DB2D96" w:rsidP="00732B64">
      <w:pPr>
        <w:rPr>
          <w:rFonts w:ascii="Gill Sans" w:hAnsi="Gill Sans"/>
        </w:rPr>
      </w:pPr>
    </w:p>
    <w:p w14:paraId="57AD47B2" w14:textId="77777777" w:rsidR="00154491" w:rsidRDefault="00154491" w:rsidP="00732B64">
      <w:pPr>
        <w:rPr>
          <w:rFonts w:ascii="Gill Sans" w:hAnsi="Gill Sans"/>
        </w:rPr>
      </w:pPr>
    </w:p>
    <w:p w14:paraId="2DA466A2" w14:textId="77777777" w:rsidR="00CA7D76" w:rsidRPr="00CA7D76" w:rsidRDefault="00732B64" w:rsidP="00732B64">
      <w:pPr>
        <w:rPr>
          <w:rFonts w:ascii="Gill Sans" w:hAnsi="Gill Sans"/>
          <w:b/>
          <w:sz w:val="24"/>
          <w:u w:val="single"/>
        </w:rPr>
      </w:pPr>
      <w:r w:rsidRPr="00CA7D76">
        <w:rPr>
          <w:rFonts w:ascii="Gill Sans" w:hAnsi="Gill Sans"/>
          <w:b/>
          <w:sz w:val="24"/>
          <w:u w:val="single"/>
        </w:rPr>
        <w:t>BY DEPARTMENT</w:t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2718"/>
        <w:gridCol w:w="2087"/>
        <w:gridCol w:w="1900"/>
        <w:gridCol w:w="2055"/>
      </w:tblGrid>
      <w:tr w:rsidR="00DB2D96" w:rsidRPr="004E196F" w14:paraId="31A9D91F" w14:textId="77777777" w:rsidTr="00D71A46">
        <w:tc>
          <w:tcPr>
            <w:tcW w:w="2718" w:type="dxa"/>
            <w:shd w:val="clear" w:color="auto" w:fill="D9D9D9" w:themeFill="background1" w:themeFillShade="D9"/>
            <w:vAlign w:val="center"/>
          </w:tcPr>
          <w:p w14:paraId="17022F11" w14:textId="77777777" w:rsidR="00DB2D96" w:rsidRPr="004E196F" w:rsidRDefault="00DB2D96" w:rsidP="00D71A46">
            <w:pPr>
              <w:jc w:val="center"/>
              <w:rPr>
                <w:rFonts w:ascii="Gill Sans" w:hAnsi="Gill Sans"/>
                <w:b/>
                <w:sz w:val="24"/>
                <w:szCs w:val="24"/>
              </w:rPr>
            </w:pPr>
            <w:r w:rsidRPr="004E196F">
              <w:rPr>
                <w:rFonts w:ascii="Gill Sans" w:hAnsi="Gill Sans"/>
                <w:b/>
                <w:sz w:val="24"/>
                <w:szCs w:val="24"/>
              </w:rPr>
              <w:t>Directorate</w:t>
            </w:r>
          </w:p>
        </w:tc>
        <w:tc>
          <w:tcPr>
            <w:tcW w:w="2087" w:type="dxa"/>
            <w:shd w:val="clear" w:color="auto" w:fill="D9D9D9" w:themeFill="background1" w:themeFillShade="D9"/>
            <w:vAlign w:val="center"/>
          </w:tcPr>
          <w:p w14:paraId="49D46D53" w14:textId="77777777" w:rsidR="00DB2D96" w:rsidRPr="004E196F" w:rsidRDefault="00DB2D96" w:rsidP="00D71A46">
            <w:pPr>
              <w:jc w:val="center"/>
              <w:rPr>
                <w:rFonts w:ascii="Gill Sans" w:hAnsi="Gill Sans"/>
                <w:b/>
                <w:sz w:val="24"/>
                <w:szCs w:val="24"/>
              </w:rPr>
            </w:pPr>
            <w:r w:rsidRPr="004E196F">
              <w:rPr>
                <w:rFonts w:ascii="Gill Sans" w:hAnsi="Gill Sans"/>
                <w:b/>
                <w:sz w:val="24"/>
                <w:szCs w:val="24"/>
              </w:rPr>
              <w:t>No. of requests attributed to department</w:t>
            </w:r>
          </w:p>
        </w:tc>
        <w:tc>
          <w:tcPr>
            <w:tcW w:w="1900" w:type="dxa"/>
            <w:shd w:val="clear" w:color="auto" w:fill="D9D9D9" w:themeFill="background1" w:themeFillShade="D9"/>
            <w:vAlign w:val="center"/>
          </w:tcPr>
          <w:p w14:paraId="7572F44C" w14:textId="77777777" w:rsidR="00DB2D96" w:rsidRPr="004E196F" w:rsidRDefault="00DB2D96" w:rsidP="00D71A46">
            <w:pPr>
              <w:jc w:val="center"/>
              <w:rPr>
                <w:rFonts w:ascii="Gill Sans" w:hAnsi="Gill Sans"/>
                <w:b/>
                <w:sz w:val="24"/>
                <w:szCs w:val="24"/>
              </w:rPr>
            </w:pPr>
            <w:r w:rsidRPr="004E196F">
              <w:rPr>
                <w:rFonts w:ascii="Gill Sans" w:hAnsi="Gill Sans"/>
                <w:b/>
                <w:sz w:val="24"/>
                <w:szCs w:val="24"/>
              </w:rPr>
              <w:t>Closed on Time</w:t>
            </w:r>
          </w:p>
        </w:tc>
        <w:tc>
          <w:tcPr>
            <w:tcW w:w="2055" w:type="dxa"/>
            <w:shd w:val="clear" w:color="auto" w:fill="D9D9D9" w:themeFill="background1" w:themeFillShade="D9"/>
            <w:vAlign w:val="center"/>
          </w:tcPr>
          <w:p w14:paraId="5612FE12" w14:textId="77777777" w:rsidR="00DB2D96" w:rsidRPr="004E196F" w:rsidRDefault="00DB2D96" w:rsidP="00D71A46">
            <w:pPr>
              <w:jc w:val="center"/>
              <w:rPr>
                <w:rFonts w:ascii="Gill Sans" w:hAnsi="Gill Sans"/>
                <w:b/>
                <w:sz w:val="24"/>
                <w:szCs w:val="24"/>
              </w:rPr>
            </w:pPr>
            <w:r w:rsidRPr="004E196F">
              <w:rPr>
                <w:rFonts w:ascii="Gill Sans" w:hAnsi="Gill Sans"/>
                <w:b/>
                <w:sz w:val="24"/>
                <w:szCs w:val="24"/>
              </w:rPr>
              <w:t>Percentage on Time</w:t>
            </w:r>
          </w:p>
        </w:tc>
      </w:tr>
      <w:tr w:rsidR="00DB2D96" w:rsidRPr="004E196F" w14:paraId="20F47A63" w14:textId="77777777" w:rsidTr="00D71A46">
        <w:trPr>
          <w:trHeight w:val="511"/>
        </w:trPr>
        <w:tc>
          <w:tcPr>
            <w:tcW w:w="2718" w:type="dxa"/>
            <w:shd w:val="clear" w:color="auto" w:fill="D9D9D9" w:themeFill="background1" w:themeFillShade="D9"/>
            <w:vAlign w:val="center"/>
          </w:tcPr>
          <w:p w14:paraId="5BFB5945" w14:textId="77777777" w:rsidR="00DB2D96" w:rsidRPr="004E196F" w:rsidRDefault="00DB2D96" w:rsidP="00D71A46">
            <w:pPr>
              <w:jc w:val="center"/>
              <w:rPr>
                <w:rFonts w:ascii="Gill Sans" w:hAnsi="Gill Sans"/>
                <w:b/>
                <w:sz w:val="24"/>
                <w:szCs w:val="24"/>
              </w:rPr>
            </w:pPr>
            <w:r w:rsidRPr="004E196F">
              <w:rPr>
                <w:rFonts w:ascii="Gill Sans" w:hAnsi="Gill Sans"/>
                <w:b/>
                <w:sz w:val="24"/>
                <w:szCs w:val="24"/>
              </w:rPr>
              <w:t>Children’s Services</w:t>
            </w:r>
          </w:p>
        </w:tc>
        <w:tc>
          <w:tcPr>
            <w:tcW w:w="2087" w:type="dxa"/>
            <w:vAlign w:val="center"/>
          </w:tcPr>
          <w:p w14:paraId="549C9231" w14:textId="07C8C352" w:rsidR="00DB2D96" w:rsidRPr="004E196F" w:rsidRDefault="00E23066" w:rsidP="00D71A46">
            <w:pPr>
              <w:jc w:val="center"/>
              <w:rPr>
                <w:rFonts w:ascii="Gill Sans" w:hAnsi="Gill Sans"/>
                <w:b/>
                <w:color w:val="000000"/>
                <w:sz w:val="24"/>
                <w:szCs w:val="24"/>
              </w:rPr>
            </w:pPr>
            <w:r>
              <w:rPr>
                <w:rFonts w:ascii="Gill Sans" w:hAnsi="Gill Sans"/>
                <w:b/>
                <w:color w:val="000000"/>
                <w:sz w:val="24"/>
                <w:szCs w:val="24"/>
              </w:rPr>
              <w:t>2</w:t>
            </w:r>
            <w:r w:rsidR="005E281C">
              <w:rPr>
                <w:rFonts w:ascii="Gill Sans" w:hAnsi="Gill Sans"/>
                <w:b/>
                <w:color w:val="000000"/>
                <w:sz w:val="24"/>
                <w:szCs w:val="24"/>
              </w:rPr>
              <w:t>47</w:t>
            </w:r>
          </w:p>
        </w:tc>
        <w:tc>
          <w:tcPr>
            <w:tcW w:w="1900" w:type="dxa"/>
            <w:vAlign w:val="center"/>
          </w:tcPr>
          <w:p w14:paraId="15A151BF" w14:textId="30375526" w:rsidR="00DB2D96" w:rsidRPr="004E196F" w:rsidRDefault="00905631" w:rsidP="00D71A46">
            <w:pPr>
              <w:jc w:val="center"/>
              <w:rPr>
                <w:rFonts w:ascii="Gill Sans" w:hAnsi="Gill Sans"/>
                <w:b/>
                <w:color w:val="000000"/>
                <w:sz w:val="24"/>
                <w:szCs w:val="24"/>
              </w:rPr>
            </w:pPr>
            <w:r>
              <w:rPr>
                <w:rFonts w:ascii="Gill Sans" w:hAnsi="Gill Sans"/>
                <w:b/>
                <w:color w:val="000000"/>
                <w:sz w:val="24"/>
                <w:szCs w:val="24"/>
              </w:rPr>
              <w:t>24</w:t>
            </w:r>
            <w:r w:rsidR="00FD6497">
              <w:rPr>
                <w:rFonts w:ascii="Gill Sans" w:hAnsi="Gill Sans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055" w:type="dxa"/>
            <w:vAlign w:val="center"/>
          </w:tcPr>
          <w:p w14:paraId="68C9CE19" w14:textId="773641B9" w:rsidR="00DB2D96" w:rsidRPr="004E196F" w:rsidRDefault="00905631" w:rsidP="004A63C7">
            <w:pPr>
              <w:jc w:val="center"/>
              <w:rPr>
                <w:rFonts w:ascii="Gill Sans" w:hAnsi="Gill Sans"/>
                <w:b/>
                <w:color w:val="000000"/>
                <w:sz w:val="24"/>
                <w:szCs w:val="24"/>
              </w:rPr>
            </w:pPr>
            <w:r>
              <w:rPr>
                <w:rFonts w:ascii="Gill Sans" w:hAnsi="Gill Sans"/>
                <w:b/>
                <w:color w:val="000000"/>
                <w:sz w:val="24"/>
                <w:szCs w:val="24"/>
              </w:rPr>
              <w:t>99</w:t>
            </w:r>
            <w:r w:rsidR="00DB2D96">
              <w:rPr>
                <w:rFonts w:ascii="Gill Sans" w:hAnsi="Gill Sans"/>
                <w:b/>
                <w:color w:val="000000"/>
                <w:sz w:val="24"/>
                <w:szCs w:val="24"/>
              </w:rPr>
              <w:t>%</w:t>
            </w:r>
          </w:p>
        </w:tc>
      </w:tr>
      <w:tr w:rsidR="00DB2D96" w:rsidRPr="004E196F" w14:paraId="76A4D20B" w14:textId="77777777" w:rsidTr="00D71A46">
        <w:trPr>
          <w:trHeight w:val="492"/>
        </w:trPr>
        <w:tc>
          <w:tcPr>
            <w:tcW w:w="2718" w:type="dxa"/>
            <w:shd w:val="clear" w:color="auto" w:fill="D9D9D9" w:themeFill="background1" w:themeFillShade="D9"/>
            <w:vAlign w:val="center"/>
          </w:tcPr>
          <w:p w14:paraId="5E07F19E" w14:textId="6C663E03" w:rsidR="00DB2D96" w:rsidRPr="004E196F" w:rsidRDefault="00DB2D96" w:rsidP="00D71A46">
            <w:pPr>
              <w:jc w:val="center"/>
              <w:rPr>
                <w:rFonts w:ascii="Gill Sans" w:hAnsi="Gill Sans"/>
                <w:b/>
                <w:sz w:val="24"/>
                <w:szCs w:val="24"/>
              </w:rPr>
            </w:pPr>
            <w:r w:rsidRPr="004E196F">
              <w:rPr>
                <w:rFonts w:ascii="Gill Sans" w:hAnsi="Gill Sans"/>
                <w:b/>
                <w:sz w:val="24"/>
                <w:szCs w:val="24"/>
              </w:rPr>
              <w:t xml:space="preserve">Communities and Environment </w:t>
            </w:r>
            <w:r w:rsidR="00905631">
              <w:rPr>
                <w:rFonts w:ascii="Gill Sans" w:hAnsi="Gill Sans"/>
                <w:b/>
                <w:sz w:val="24"/>
                <w:szCs w:val="24"/>
              </w:rPr>
              <w:t>&amp; Transportation</w:t>
            </w:r>
            <w:r w:rsidRPr="004E196F">
              <w:rPr>
                <w:rFonts w:ascii="Gill Sans" w:hAnsi="Gill Sans"/>
                <w:b/>
                <w:sz w:val="24"/>
                <w:szCs w:val="24"/>
              </w:rPr>
              <w:t xml:space="preserve"> (Overall)</w:t>
            </w:r>
          </w:p>
        </w:tc>
        <w:tc>
          <w:tcPr>
            <w:tcW w:w="2087" w:type="dxa"/>
            <w:vAlign w:val="center"/>
          </w:tcPr>
          <w:p w14:paraId="71CD2970" w14:textId="6143A522" w:rsidR="00DB2D96" w:rsidRPr="004E196F" w:rsidRDefault="00FD6497" w:rsidP="00D71A46">
            <w:pPr>
              <w:jc w:val="center"/>
              <w:rPr>
                <w:rFonts w:ascii="Gill Sans" w:hAnsi="Gill Sans"/>
                <w:b/>
                <w:color w:val="000000"/>
                <w:sz w:val="24"/>
                <w:szCs w:val="24"/>
              </w:rPr>
            </w:pPr>
            <w:r>
              <w:rPr>
                <w:rFonts w:ascii="Gill Sans" w:hAnsi="Gill Sans"/>
                <w:b/>
                <w:color w:val="000000"/>
                <w:sz w:val="24"/>
                <w:szCs w:val="24"/>
              </w:rPr>
              <w:t>398</w:t>
            </w:r>
          </w:p>
        </w:tc>
        <w:tc>
          <w:tcPr>
            <w:tcW w:w="1900" w:type="dxa"/>
            <w:vAlign w:val="center"/>
          </w:tcPr>
          <w:p w14:paraId="66BBB53B" w14:textId="2C90D8FC" w:rsidR="00DB2D96" w:rsidRPr="004E196F" w:rsidRDefault="00FD6497" w:rsidP="00D71A46">
            <w:pPr>
              <w:jc w:val="center"/>
              <w:rPr>
                <w:rFonts w:ascii="Gill Sans" w:hAnsi="Gill Sans"/>
                <w:b/>
                <w:color w:val="000000"/>
                <w:sz w:val="24"/>
                <w:szCs w:val="24"/>
              </w:rPr>
            </w:pPr>
            <w:r>
              <w:rPr>
                <w:rFonts w:ascii="Gill Sans" w:hAnsi="Gill Sans"/>
                <w:b/>
                <w:color w:val="000000"/>
                <w:sz w:val="24"/>
                <w:szCs w:val="24"/>
              </w:rPr>
              <w:t>356</w:t>
            </w:r>
          </w:p>
        </w:tc>
        <w:tc>
          <w:tcPr>
            <w:tcW w:w="2055" w:type="dxa"/>
            <w:vAlign w:val="center"/>
          </w:tcPr>
          <w:p w14:paraId="4A2488E7" w14:textId="3E5EF4BA" w:rsidR="00DB2D96" w:rsidRPr="004808F7" w:rsidRDefault="00FD6497" w:rsidP="004A63C7">
            <w:pPr>
              <w:jc w:val="center"/>
              <w:rPr>
                <w:rFonts w:ascii="Gill Sans" w:hAnsi="Gill Sans"/>
                <w:b/>
                <w:color w:val="FF0000"/>
                <w:sz w:val="24"/>
                <w:szCs w:val="24"/>
              </w:rPr>
            </w:pPr>
            <w:r w:rsidRPr="004808F7">
              <w:rPr>
                <w:rFonts w:ascii="Gill Sans" w:hAnsi="Gill Sans"/>
                <w:b/>
                <w:color w:val="FF0000"/>
                <w:sz w:val="24"/>
                <w:szCs w:val="24"/>
              </w:rPr>
              <w:t>89</w:t>
            </w:r>
            <w:r w:rsidR="00DB2D96" w:rsidRPr="004808F7">
              <w:rPr>
                <w:rFonts w:ascii="Gill Sans" w:hAnsi="Gill Sans"/>
                <w:b/>
                <w:color w:val="FF0000"/>
                <w:sz w:val="24"/>
                <w:szCs w:val="24"/>
              </w:rPr>
              <w:t>%</w:t>
            </w:r>
          </w:p>
        </w:tc>
      </w:tr>
      <w:tr w:rsidR="00DB2D96" w:rsidRPr="004E196F" w14:paraId="62600FEE" w14:textId="77777777" w:rsidTr="00D71A46">
        <w:tc>
          <w:tcPr>
            <w:tcW w:w="2718" w:type="dxa"/>
            <w:shd w:val="clear" w:color="auto" w:fill="D9D9D9" w:themeFill="background1" w:themeFillShade="D9"/>
            <w:vAlign w:val="center"/>
          </w:tcPr>
          <w:p w14:paraId="2C1ADED1" w14:textId="77777777" w:rsidR="00DB2D96" w:rsidRPr="004E196F" w:rsidRDefault="00DB2D96" w:rsidP="00D71A46">
            <w:pPr>
              <w:jc w:val="center"/>
              <w:rPr>
                <w:rFonts w:ascii="Gill Sans" w:hAnsi="Gill Sans"/>
                <w:b/>
                <w:sz w:val="24"/>
                <w:szCs w:val="24"/>
              </w:rPr>
            </w:pPr>
            <w:r w:rsidRPr="004E196F">
              <w:rPr>
                <w:rFonts w:ascii="Gill Sans" w:hAnsi="Gill Sans"/>
                <w:b/>
                <w:sz w:val="24"/>
                <w:szCs w:val="24"/>
              </w:rPr>
              <w:t>Housing and Safer Communities</w:t>
            </w:r>
          </w:p>
        </w:tc>
        <w:tc>
          <w:tcPr>
            <w:tcW w:w="2087" w:type="dxa"/>
            <w:vAlign w:val="center"/>
          </w:tcPr>
          <w:p w14:paraId="1DE2C448" w14:textId="2385AA84" w:rsidR="00DB2D96" w:rsidRPr="004E196F" w:rsidRDefault="00DB2D96" w:rsidP="00D71A46">
            <w:pPr>
              <w:jc w:val="center"/>
              <w:rPr>
                <w:rFonts w:ascii="Gill Sans" w:hAnsi="Gill Sans"/>
                <w:b/>
                <w:color w:val="000000"/>
                <w:sz w:val="24"/>
                <w:szCs w:val="24"/>
              </w:rPr>
            </w:pPr>
            <w:r>
              <w:rPr>
                <w:rFonts w:ascii="Gill Sans" w:hAnsi="Gill Sans"/>
                <w:b/>
                <w:color w:val="000000"/>
                <w:sz w:val="24"/>
                <w:szCs w:val="24"/>
              </w:rPr>
              <w:t>4</w:t>
            </w:r>
            <w:r w:rsidR="00905631">
              <w:rPr>
                <w:rFonts w:ascii="Gill Sans" w:hAnsi="Gill Sans"/>
                <w:b/>
                <w:color w:val="000000"/>
                <w:sz w:val="24"/>
                <w:szCs w:val="24"/>
              </w:rPr>
              <w:t>50</w:t>
            </w:r>
          </w:p>
        </w:tc>
        <w:tc>
          <w:tcPr>
            <w:tcW w:w="1900" w:type="dxa"/>
            <w:vAlign w:val="center"/>
          </w:tcPr>
          <w:p w14:paraId="1F90B528" w14:textId="235453B7" w:rsidR="00DB2D96" w:rsidRPr="004E196F" w:rsidRDefault="00905631" w:rsidP="00D71A46">
            <w:pPr>
              <w:jc w:val="center"/>
              <w:rPr>
                <w:rFonts w:ascii="Gill Sans" w:hAnsi="Gill Sans"/>
                <w:b/>
                <w:color w:val="000000"/>
                <w:sz w:val="24"/>
                <w:szCs w:val="24"/>
              </w:rPr>
            </w:pPr>
            <w:r>
              <w:rPr>
                <w:rFonts w:ascii="Gill Sans" w:hAnsi="Gill Sans"/>
                <w:b/>
                <w:color w:val="000000"/>
                <w:sz w:val="24"/>
                <w:szCs w:val="24"/>
              </w:rPr>
              <w:t>36</w:t>
            </w:r>
            <w:r w:rsidR="00FD6497">
              <w:rPr>
                <w:rFonts w:ascii="Gill Sans" w:hAnsi="Gill Sans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2055" w:type="dxa"/>
            <w:vAlign w:val="center"/>
          </w:tcPr>
          <w:p w14:paraId="0D827F73" w14:textId="0144E955" w:rsidR="00DB2D96" w:rsidRPr="004808F7" w:rsidRDefault="004B72C5" w:rsidP="004B72C5">
            <w:pPr>
              <w:jc w:val="center"/>
              <w:rPr>
                <w:rFonts w:ascii="Gill Sans" w:hAnsi="Gill Sans"/>
                <w:b/>
                <w:color w:val="FF0000"/>
                <w:sz w:val="24"/>
                <w:szCs w:val="24"/>
              </w:rPr>
            </w:pPr>
            <w:r w:rsidRPr="004808F7">
              <w:rPr>
                <w:rFonts w:ascii="Gill Sans" w:hAnsi="Gill Sans"/>
                <w:b/>
                <w:color w:val="FF0000"/>
                <w:sz w:val="24"/>
                <w:szCs w:val="24"/>
              </w:rPr>
              <w:t>8</w:t>
            </w:r>
            <w:r w:rsidR="00905631" w:rsidRPr="004808F7">
              <w:rPr>
                <w:rFonts w:ascii="Gill Sans" w:hAnsi="Gill Sans"/>
                <w:b/>
                <w:color w:val="FF0000"/>
                <w:sz w:val="24"/>
                <w:szCs w:val="24"/>
              </w:rPr>
              <w:t>2</w:t>
            </w:r>
            <w:r w:rsidR="00DB2D96" w:rsidRPr="004808F7">
              <w:rPr>
                <w:rFonts w:ascii="Gill Sans" w:hAnsi="Gill Sans"/>
                <w:b/>
                <w:color w:val="FF0000"/>
                <w:sz w:val="24"/>
                <w:szCs w:val="24"/>
              </w:rPr>
              <w:t>%</w:t>
            </w:r>
          </w:p>
        </w:tc>
      </w:tr>
      <w:tr w:rsidR="00DB2D96" w:rsidRPr="004E196F" w14:paraId="22807D16" w14:textId="77777777" w:rsidTr="00D71A46">
        <w:trPr>
          <w:trHeight w:val="547"/>
        </w:trPr>
        <w:tc>
          <w:tcPr>
            <w:tcW w:w="2718" w:type="dxa"/>
            <w:shd w:val="clear" w:color="auto" w:fill="D9D9D9" w:themeFill="background1" w:themeFillShade="D9"/>
            <w:vAlign w:val="center"/>
          </w:tcPr>
          <w:p w14:paraId="1A4FFD4C" w14:textId="77777777" w:rsidR="00DB2D96" w:rsidRPr="004E196F" w:rsidRDefault="00DB2D96" w:rsidP="00D71A46">
            <w:pPr>
              <w:jc w:val="center"/>
              <w:rPr>
                <w:rFonts w:ascii="Gill Sans" w:hAnsi="Gill Sans"/>
                <w:b/>
                <w:sz w:val="24"/>
                <w:szCs w:val="24"/>
              </w:rPr>
            </w:pPr>
            <w:r w:rsidRPr="004E196F">
              <w:rPr>
                <w:rFonts w:ascii="Gill Sans" w:hAnsi="Gill Sans"/>
                <w:b/>
                <w:sz w:val="24"/>
                <w:szCs w:val="24"/>
              </w:rPr>
              <w:t>Finance &amp; Legal Services - (Overall)</w:t>
            </w:r>
          </w:p>
        </w:tc>
        <w:tc>
          <w:tcPr>
            <w:tcW w:w="2087" w:type="dxa"/>
            <w:vAlign w:val="center"/>
          </w:tcPr>
          <w:p w14:paraId="09B50C4D" w14:textId="5B369B84" w:rsidR="00905631" w:rsidRPr="004E196F" w:rsidRDefault="00905631" w:rsidP="00905631">
            <w:pPr>
              <w:jc w:val="center"/>
              <w:rPr>
                <w:rFonts w:ascii="Gill Sans" w:hAnsi="Gill Sans"/>
                <w:b/>
                <w:color w:val="000000"/>
                <w:sz w:val="24"/>
                <w:szCs w:val="24"/>
              </w:rPr>
            </w:pPr>
            <w:r>
              <w:rPr>
                <w:rFonts w:ascii="Gill Sans" w:hAnsi="Gill Sans"/>
                <w:b/>
                <w:color w:val="000000"/>
                <w:sz w:val="24"/>
                <w:szCs w:val="24"/>
              </w:rPr>
              <w:t>47</w:t>
            </w:r>
            <w:r w:rsidR="00FD6497">
              <w:rPr>
                <w:rFonts w:ascii="Gill Sans" w:hAnsi="Gill Sans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900" w:type="dxa"/>
            <w:vAlign w:val="center"/>
          </w:tcPr>
          <w:p w14:paraId="01A5A897" w14:textId="63B2D0F7" w:rsidR="00DB2D96" w:rsidRPr="004E196F" w:rsidRDefault="00905631" w:rsidP="00D71A46">
            <w:pPr>
              <w:jc w:val="center"/>
              <w:rPr>
                <w:rFonts w:ascii="Gill Sans" w:hAnsi="Gill Sans"/>
                <w:b/>
                <w:color w:val="000000"/>
                <w:sz w:val="24"/>
                <w:szCs w:val="24"/>
              </w:rPr>
            </w:pPr>
            <w:r>
              <w:rPr>
                <w:rFonts w:ascii="Gill Sans" w:hAnsi="Gill Sans"/>
                <w:b/>
                <w:color w:val="000000"/>
                <w:sz w:val="24"/>
                <w:szCs w:val="24"/>
              </w:rPr>
              <w:t>42</w:t>
            </w:r>
            <w:r w:rsidR="00FD6497">
              <w:rPr>
                <w:rFonts w:ascii="Gill Sans" w:hAnsi="Gill Sans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055" w:type="dxa"/>
            <w:vAlign w:val="center"/>
          </w:tcPr>
          <w:p w14:paraId="4B414853" w14:textId="2780DD36" w:rsidR="00DB2D96" w:rsidRPr="004808F7" w:rsidRDefault="00905631" w:rsidP="00D71A46">
            <w:pPr>
              <w:jc w:val="center"/>
              <w:rPr>
                <w:rFonts w:ascii="Gill Sans" w:hAnsi="Gill Sans"/>
                <w:b/>
                <w:color w:val="FF0000"/>
                <w:sz w:val="24"/>
                <w:szCs w:val="24"/>
              </w:rPr>
            </w:pPr>
            <w:r w:rsidRPr="004808F7">
              <w:rPr>
                <w:rFonts w:ascii="Gill Sans" w:hAnsi="Gill Sans"/>
                <w:b/>
                <w:color w:val="FF0000"/>
                <w:sz w:val="24"/>
                <w:szCs w:val="24"/>
              </w:rPr>
              <w:t>89</w:t>
            </w:r>
            <w:r w:rsidR="00DB2D96" w:rsidRPr="004808F7">
              <w:rPr>
                <w:rFonts w:ascii="Gill Sans" w:hAnsi="Gill Sans"/>
                <w:b/>
                <w:color w:val="FF0000"/>
                <w:sz w:val="24"/>
                <w:szCs w:val="24"/>
              </w:rPr>
              <w:t>%</w:t>
            </w:r>
          </w:p>
        </w:tc>
      </w:tr>
      <w:tr w:rsidR="00DB2D96" w:rsidRPr="004E196F" w14:paraId="6BDF6AC3" w14:textId="77777777" w:rsidTr="00D71A46">
        <w:trPr>
          <w:trHeight w:val="540"/>
        </w:trPr>
        <w:tc>
          <w:tcPr>
            <w:tcW w:w="2718" w:type="dxa"/>
            <w:shd w:val="clear" w:color="auto" w:fill="D9D9D9" w:themeFill="background1" w:themeFillShade="D9"/>
            <w:vAlign w:val="center"/>
          </w:tcPr>
          <w:p w14:paraId="364B6745" w14:textId="77777777" w:rsidR="00DB2D96" w:rsidRPr="004E196F" w:rsidRDefault="00DB2D96" w:rsidP="00D71A46">
            <w:pPr>
              <w:jc w:val="center"/>
              <w:rPr>
                <w:rFonts w:ascii="Gill Sans" w:hAnsi="Gill Sans"/>
                <w:b/>
                <w:sz w:val="24"/>
                <w:szCs w:val="24"/>
              </w:rPr>
            </w:pPr>
            <w:r w:rsidRPr="004E196F">
              <w:rPr>
                <w:rFonts w:ascii="Gill Sans" w:hAnsi="Gill Sans"/>
                <w:b/>
                <w:sz w:val="24"/>
                <w:szCs w:val="24"/>
              </w:rPr>
              <w:t>Health and Adults</w:t>
            </w:r>
          </w:p>
        </w:tc>
        <w:tc>
          <w:tcPr>
            <w:tcW w:w="2087" w:type="dxa"/>
            <w:vAlign w:val="center"/>
          </w:tcPr>
          <w:p w14:paraId="05C59757" w14:textId="33B0C1BD" w:rsidR="00DB2D96" w:rsidRPr="004E196F" w:rsidRDefault="005E281C" w:rsidP="00D71A46">
            <w:pPr>
              <w:jc w:val="center"/>
              <w:rPr>
                <w:rFonts w:ascii="Gill Sans" w:hAnsi="Gill Sans"/>
                <w:b/>
                <w:color w:val="000000"/>
                <w:sz w:val="24"/>
                <w:szCs w:val="24"/>
              </w:rPr>
            </w:pPr>
            <w:r>
              <w:rPr>
                <w:rFonts w:ascii="Gill Sans" w:hAnsi="Gill Sans"/>
                <w:b/>
                <w:color w:val="000000"/>
                <w:sz w:val="24"/>
                <w:szCs w:val="24"/>
              </w:rPr>
              <w:t>192</w:t>
            </w:r>
          </w:p>
        </w:tc>
        <w:tc>
          <w:tcPr>
            <w:tcW w:w="1900" w:type="dxa"/>
            <w:vAlign w:val="center"/>
          </w:tcPr>
          <w:p w14:paraId="084B8CD8" w14:textId="6C6A133C" w:rsidR="00DB2D96" w:rsidRPr="004E196F" w:rsidRDefault="00905631" w:rsidP="00D71A46">
            <w:pPr>
              <w:jc w:val="center"/>
              <w:rPr>
                <w:rFonts w:ascii="Gill Sans" w:hAnsi="Gill Sans"/>
                <w:b/>
                <w:color w:val="000000"/>
                <w:sz w:val="24"/>
                <w:szCs w:val="24"/>
              </w:rPr>
            </w:pPr>
            <w:r>
              <w:rPr>
                <w:rFonts w:ascii="Gill Sans" w:hAnsi="Gill Sans"/>
                <w:b/>
                <w:color w:val="000000"/>
                <w:sz w:val="24"/>
                <w:szCs w:val="24"/>
              </w:rPr>
              <w:t>192</w:t>
            </w:r>
          </w:p>
        </w:tc>
        <w:tc>
          <w:tcPr>
            <w:tcW w:w="2055" w:type="dxa"/>
            <w:vAlign w:val="center"/>
          </w:tcPr>
          <w:p w14:paraId="556702B3" w14:textId="6F129289" w:rsidR="00DB2D96" w:rsidRPr="004E196F" w:rsidRDefault="004B72C5" w:rsidP="00D71A46">
            <w:pPr>
              <w:jc w:val="center"/>
              <w:rPr>
                <w:rFonts w:ascii="Gill Sans" w:hAnsi="Gill Sans"/>
                <w:b/>
                <w:color w:val="000000"/>
                <w:sz w:val="24"/>
                <w:szCs w:val="24"/>
              </w:rPr>
            </w:pPr>
            <w:r>
              <w:rPr>
                <w:rFonts w:ascii="Gill Sans" w:hAnsi="Gill Sans"/>
                <w:b/>
                <w:color w:val="000000"/>
                <w:sz w:val="24"/>
                <w:szCs w:val="24"/>
              </w:rPr>
              <w:t>100</w:t>
            </w:r>
            <w:r w:rsidR="00DB2D96" w:rsidRPr="004E196F">
              <w:rPr>
                <w:rFonts w:ascii="Gill Sans" w:hAnsi="Gill Sans"/>
                <w:b/>
                <w:color w:val="000000"/>
                <w:sz w:val="24"/>
                <w:szCs w:val="24"/>
              </w:rPr>
              <w:t>%</w:t>
            </w:r>
          </w:p>
        </w:tc>
      </w:tr>
      <w:tr w:rsidR="00DB2D96" w:rsidRPr="004E196F" w14:paraId="3D44B9D5" w14:textId="77777777" w:rsidTr="00D71A46">
        <w:tc>
          <w:tcPr>
            <w:tcW w:w="2718" w:type="dxa"/>
            <w:shd w:val="clear" w:color="auto" w:fill="D9D9D9" w:themeFill="background1" w:themeFillShade="D9"/>
            <w:vAlign w:val="center"/>
          </w:tcPr>
          <w:p w14:paraId="750F9D98" w14:textId="77777777" w:rsidR="00DB2D96" w:rsidRPr="004E196F" w:rsidRDefault="00DB2D96" w:rsidP="00D71A46">
            <w:pPr>
              <w:jc w:val="center"/>
              <w:rPr>
                <w:rFonts w:ascii="Gill Sans" w:hAnsi="Gill Sans"/>
                <w:b/>
                <w:sz w:val="24"/>
                <w:szCs w:val="24"/>
              </w:rPr>
            </w:pPr>
            <w:r w:rsidRPr="004E196F">
              <w:rPr>
                <w:rFonts w:ascii="Gill Sans" w:hAnsi="Gill Sans"/>
                <w:b/>
                <w:sz w:val="24"/>
                <w:szCs w:val="24"/>
              </w:rPr>
              <w:t>Regeneration, Enterprise and Skills</w:t>
            </w:r>
          </w:p>
        </w:tc>
        <w:tc>
          <w:tcPr>
            <w:tcW w:w="2087" w:type="dxa"/>
            <w:vAlign w:val="center"/>
          </w:tcPr>
          <w:p w14:paraId="731DB9A4" w14:textId="600E742C" w:rsidR="00DB2D96" w:rsidRPr="004E196F" w:rsidRDefault="00905631" w:rsidP="00D71A46">
            <w:pPr>
              <w:jc w:val="center"/>
              <w:rPr>
                <w:rFonts w:ascii="Gill Sans" w:hAnsi="Gill Sans"/>
                <w:b/>
                <w:color w:val="000000"/>
                <w:sz w:val="24"/>
                <w:szCs w:val="24"/>
              </w:rPr>
            </w:pPr>
            <w:r>
              <w:rPr>
                <w:rFonts w:ascii="Gill Sans" w:hAnsi="Gill Sans"/>
                <w:b/>
                <w:color w:val="000000"/>
                <w:sz w:val="24"/>
                <w:szCs w:val="24"/>
              </w:rPr>
              <w:t>22</w:t>
            </w:r>
            <w:r w:rsidR="00FD6497">
              <w:rPr>
                <w:rFonts w:ascii="Gill Sans" w:hAnsi="Gill Sans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900" w:type="dxa"/>
            <w:vAlign w:val="center"/>
          </w:tcPr>
          <w:p w14:paraId="5667B84C" w14:textId="574B4566" w:rsidR="00DB2D96" w:rsidRPr="004E196F" w:rsidRDefault="00905631" w:rsidP="00D71A46">
            <w:pPr>
              <w:jc w:val="center"/>
              <w:rPr>
                <w:rFonts w:ascii="Gill Sans" w:hAnsi="Gill Sans"/>
                <w:b/>
                <w:color w:val="000000"/>
                <w:sz w:val="24"/>
                <w:szCs w:val="24"/>
              </w:rPr>
            </w:pPr>
            <w:r>
              <w:rPr>
                <w:rFonts w:ascii="Gill Sans" w:hAnsi="Gill Sans"/>
                <w:b/>
                <w:color w:val="000000"/>
                <w:sz w:val="24"/>
                <w:szCs w:val="24"/>
              </w:rPr>
              <w:t>217</w:t>
            </w:r>
          </w:p>
        </w:tc>
        <w:tc>
          <w:tcPr>
            <w:tcW w:w="2055" w:type="dxa"/>
            <w:vAlign w:val="center"/>
          </w:tcPr>
          <w:p w14:paraId="64160EDA" w14:textId="0D80BAD6" w:rsidR="00DB2D96" w:rsidRPr="004E196F" w:rsidRDefault="00905631" w:rsidP="00D71A46">
            <w:pPr>
              <w:jc w:val="center"/>
              <w:rPr>
                <w:rFonts w:ascii="Gill Sans" w:hAnsi="Gill Sans"/>
                <w:b/>
                <w:color w:val="000000"/>
                <w:sz w:val="24"/>
                <w:szCs w:val="24"/>
              </w:rPr>
            </w:pPr>
            <w:r>
              <w:rPr>
                <w:rFonts w:ascii="Gill Sans" w:hAnsi="Gill Sans"/>
                <w:b/>
                <w:color w:val="000000"/>
                <w:sz w:val="24"/>
                <w:szCs w:val="24"/>
              </w:rPr>
              <w:t>96</w:t>
            </w:r>
            <w:r w:rsidR="00DB2D96" w:rsidRPr="004E196F">
              <w:rPr>
                <w:rFonts w:ascii="Gill Sans" w:hAnsi="Gill Sans"/>
                <w:b/>
                <w:color w:val="000000"/>
                <w:sz w:val="24"/>
                <w:szCs w:val="24"/>
              </w:rPr>
              <w:t>%</w:t>
            </w:r>
          </w:p>
        </w:tc>
      </w:tr>
    </w:tbl>
    <w:p w14:paraId="075F9BBF" w14:textId="77777777" w:rsidR="00682DAC" w:rsidRPr="00CA7D76" w:rsidRDefault="00CA2DEC" w:rsidP="00B061DC">
      <w:pPr>
        <w:jc w:val="center"/>
        <w:rPr>
          <w:rFonts w:ascii="Gill Sans" w:hAnsi="Gill Sans"/>
          <w:i/>
          <w:color w:val="FF0000"/>
        </w:rPr>
      </w:pPr>
      <w:r w:rsidRPr="00CA7D76">
        <w:rPr>
          <w:rFonts w:ascii="Gill Sans" w:hAnsi="Gill Sans"/>
          <w:i/>
          <w:color w:val="FF0000"/>
        </w:rPr>
        <w:t xml:space="preserve">Note that the total </w:t>
      </w:r>
      <w:r w:rsidR="00732B64" w:rsidRPr="00CA7D76">
        <w:rPr>
          <w:rFonts w:ascii="Gill Sans" w:hAnsi="Gill Sans"/>
          <w:i/>
          <w:color w:val="FF0000"/>
        </w:rPr>
        <w:t>above</w:t>
      </w:r>
      <w:r w:rsidRPr="00CA7D76">
        <w:rPr>
          <w:rFonts w:ascii="Gill Sans" w:hAnsi="Gill Sans"/>
          <w:i/>
          <w:color w:val="FF0000"/>
        </w:rPr>
        <w:t xml:space="preserve"> adds up to more than the number received due to multiple departments being joi</w:t>
      </w:r>
      <w:r w:rsidR="00F551BF" w:rsidRPr="00CA7D76">
        <w:rPr>
          <w:rFonts w:ascii="Gill Sans" w:hAnsi="Gill Sans"/>
          <w:i/>
          <w:color w:val="FF0000"/>
        </w:rPr>
        <w:t>ntly assigned to some FOIs/EIRs and also due to the differen</w:t>
      </w:r>
      <w:r w:rsidR="003C0A61" w:rsidRPr="00CA7D76">
        <w:rPr>
          <w:rFonts w:ascii="Gill Sans" w:hAnsi="Gill Sans"/>
          <w:i/>
          <w:color w:val="FF0000"/>
        </w:rPr>
        <w:t xml:space="preserve">t reporting arrangements for Finance &amp; Legal Services and Communities &amp; Environment </w:t>
      </w:r>
      <w:r w:rsidR="00F551BF" w:rsidRPr="00CA7D76">
        <w:rPr>
          <w:rFonts w:ascii="Gill Sans" w:hAnsi="Gill Sans"/>
          <w:i/>
          <w:color w:val="FF0000"/>
        </w:rPr>
        <w:t>directorate</w:t>
      </w:r>
      <w:r w:rsidR="003C0A61" w:rsidRPr="00CA7D76">
        <w:rPr>
          <w:rFonts w:ascii="Gill Sans" w:hAnsi="Gill Sans"/>
          <w:i/>
          <w:color w:val="FF0000"/>
        </w:rPr>
        <w:t>s</w:t>
      </w:r>
      <w:r w:rsidR="00F551BF" w:rsidRPr="00CA7D76">
        <w:rPr>
          <w:rFonts w:ascii="Gill Sans" w:hAnsi="Gill Sans"/>
          <w:i/>
          <w:color w:val="FF0000"/>
        </w:rPr>
        <w:t>.</w:t>
      </w:r>
    </w:p>
    <w:p w14:paraId="79E6A35C" w14:textId="22EBABF7" w:rsidR="00EE3290" w:rsidRDefault="00CD7CE8" w:rsidP="00826999">
      <w:pPr>
        <w:spacing w:after="0" w:line="240" w:lineRule="auto"/>
        <w:contextualSpacing/>
        <w:jc w:val="center"/>
      </w:pPr>
      <w:r>
        <w:rPr>
          <w:noProof/>
        </w:rPr>
        <w:lastRenderedPageBreak/>
        <w:drawing>
          <wp:inline distT="0" distB="0" distL="0" distR="0" wp14:anchorId="4630DB00" wp14:editId="15B85A96">
            <wp:extent cx="6645910" cy="4030345"/>
            <wp:effectExtent l="0" t="0" r="2540" b="8255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2015EA5F" w14:textId="77777777" w:rsidR="00EE3290" w:rsidRDefault="00EE3290" w:rsidP="00D12299">
      <w:pPr>
        <w:spacing w:after="0" w:line="240" w:lineRule="auto"/>
        <w:contextualSpacing/>
        <w:rPr>
          <w:rFonts w:ascii="Gill Sans" w:eastAsia="Calibri" w:hAnsi="Gill Sans" w:cs="Times New Roman"/>
          <w:sz w:val="28"/>
          <w:u w:val="single"/>
        </w:rPr>
      </w:pPr>
    </w:p>
    <w:p w14:paraId="03CD125C" w14:textId="77777777" w:rsidR="00CA7D76" w:rsidRDefault="00CA7D76" w:rsidP="00D12299">
      <w:pPr>
        <w:spacing w:after="0" w:line="240" w:lineRule="auto"/>
        <w:contextualSpacing/>
        <w:rPr>
          <w:rFonts w:ascii="Gill Sans" w:eastAsia="Calibri" w:hAnsi="Gill Sans" w:cs="Times New Roman"/>
          <w:sz w:val="28"/>
          <w:u w:val="single"/>
        </w:rPr>
      </w:pPr>
    </w:p>
    <w:p w14:paraId="6D4610B6" w14:textId="77777777" w:rsidR="00AC2723" w:rsidRDefault="00AC2723" w:rsidP="00AC2723">
      <w:pPr>
        <w:jc w:val="center"/>
        <w:rPr>
          <w:rFonts w:ascii="Gill Sans" w:eastAsia="Calibri" w:hAnsi="Gill Sans" w:cs="Times New Roman"/>
          <w:b/>
          <w:sz w:val="24"/>
          <w:u w:val="single"/>
        </w:rPr>
      </w:pPr>
    </w:p>
    <w:p w14:paraId="33FC0649" w14:textId="77777777" w:rsidR="00624B09" w:rsidRDefault="00624B09" w:rsidP="00624B09">
      <w:pPr>
        <w:spacing w:after="0" w:line="240" w:lineRule="auto"/>
        <w:contextualSpacing/>
        <w:rPr>
          <w:rFonts w:ascii="Gill Sans" w:eastAsia="Calibri" w:hAnsi="Gill Sans" w:cs="Times New Roman"/>
          <w:b/>
          <w:sz w:val="24"/>
          <w:u w:val="single"/>
        </w:rPr>
      </w:pPr>
      <w:r>
        <w:rPr>
          <w:rFonts w:ascii="Gill Sans" w:eastAsia="Calibri" w:hAnsi="Gill Sans" w:cs="Times New Roman"/>
          <w:b/>
          <w:sz w:val="24"/>
          <w:u w:val="single"/>
        </w:rPr>
        <w:t>FOI</w:t>
      </w:r>
      <w:r w:rsidRPr="00CA7D76">
        <w:rPr>
          <w:rFonts w:ascii="Gill Sans" w:eastAsia="Calibri" w:hAnsi="Gill Sans" w:cs="Times New Roman"/>
          <w:b/>
          <w:sz w:val="24"/>
          <w:u w:val="single"/>
        </w:rPr>
        <w:t xml:space="preserve"> Status report</w:t>
      </w:r>
    </w:p>
    <w:p w14:paraId="6689F536" w14:textId="77777777" w:rsidR="00624B09" w:rsidRPr="00624B09" w:rsidRDefault="00624B09" w:rsidP="00624B09">
      <w:pPr>
        <w:spacing w:after="0" w:line="240" w:lineRule="auto"/>
        <w:contextualSpacing/>
        <w:rPr>
          <w:rFonts w:ascii="Gill Sans" w:eastAsia="Calibri" w:hAnsi="Gill Sans" w:cs="Times New Roman"/>
          <w:b/>
          <w:sz w:val="24"/>
          <w:u w:val="single"/>
        </w:rPr>
      </w:pPr>
    </w:p>
    <w:p w14:paraId="5590F886" w14:textId="519DEFBF" w:rsidR="00AC2723" w:rsidRPr="00624B09" w:rsidRDefault="00624B09" w:rsidP="00624B09">
      <w:pPr>
        <w:rPr>
          <w:rFonts w:ascii="Gill Sans" w:eastAsia="Calibri" w:hAnsi="Gill Sans" w:cs="Times New Roman"/>
        </w:rPr>
      </w:pPr>
      <w:r w:rsidRPr="00CA7D76">
        <w:rPr>
          <w:rFonts w:ascii="Gill Sans" w:eastAsia="Calibri" w:hAnsi="Gill Sans" w:cs="Times New Roman"/>
        </w:rPr>
        <w:t xml:space="preserve">In line with the ICO’s requirements, we have produced the </w:t>
      </w:r>
      <w:r>
        <w:rPr>
          <w:rFonts w:ascii="Gill Sans" w:eastAsia="Calibri" w:hAnsi="Gill Sans" w:cs="Times New Roman"/>
        </w:rPr>
        <w:t>FOI</w:t>
      </w:r>
      <w:r w:rsidRPr="00CA7D76">
        <w:rPr>
          <w:rFonts w:ascii="Gill Sans" w:eastAsia="Calibri" w:hAnsi="Gill Sans" w:cs="Times New Roman"/>
        </w:rPr>
        <w:t xml:space="preserve"> Status report, as set out below for the 20</w:t>
      </w:r>
      <w:r>
        <w:rPr>
          <w:rFonts w:ascii="Gill Sans" w:eastAsia="Calibri" w:hAnsi="Gill Sans" w:cs="Times New Roman"/>
        </w:rPr>
        <w:t>2</w:t>
      </w:r>
      <w:r w:rsidR="002444A5">
        <w:rPr>
          <w:rFonts w:ascii="Gill Sans" w:eastAsia="Calibri" w:hAnsi="Gill Sans" w:cs="Times New Roman"/>
        </w:rPr>
        <w:t>2</w:t>
      </w:r>
      <w:r w:rsidR="0072764D">
        <w:rPr>
          <w:rFonts w:ascii="Gill Sans" w:eastAsia="Calibri" w:hAnsi="Gill Sans" w:cs="Times New Roman"/>
        </w:rPr>
        <w:t xml:space="preserve"> </w:t>
      </w:r>
      <w:r w:rsidR="00EB0791">
        <w:rPr>
          <w:rFonts w:ascii="Gill Sans" w:eastAsia="Calibri" w:hAnsi="Gill Sans" w:cs="Times New Roman"/>
        </w:rPr>
        <w:t xml:space="preserve">calendar </w:t>
      </w:r>
      <w:r w:rsidRPr="00CA7D76">
        <w:rPr>
          <w:rFonts w:ascii="Gill Sans" w:eastAsia="Calibri" w:hAnsi="Gill Sans" w:cs="Times New Roman"/>
        </w:rPr>
        <w:t>year, recording the instances in which information has either been held, partially held or not held, and where information has been either fully or partially ex</w:t>
      </w:r>
      <w:r>
        <w:rPr>
          <w:rFonts w:ascii="Gill Sans" w:eastAsia="Calibri" w:hAnsi="Gill Sans" w:cs="Times New Roman"/>
        </w:rPr>
        <w:t>em</w:t>
      </w:r>
      <w:r w:rsidRPr="00CA7D76">
        <w:rPr>
          <w:rFonts w:ascii="Gill Sans" w:eastAsia="Calibri" w:hAnsi="Gill Sans" w:cs="Times New Roman"/>
        </w:rPr>
        <w:t>pted.</w:t>
      </w:r>
    </w:p>
    <w:tbl>
      <w:tblPr>
        <w:tblW w:w="5060" w:type="dxa"/>
        <w:jc w:val="center"/>
        <w:tblLook w:val="04A0" w:firstRow="1" w:lastRow="0" w:firstColumn="1" w:lastColumn="0" w:noHBand="0" w:noVBand="1"/>
      </w:tblPr>
      <w:tblGrid>
        <w:gridCol w:w="2941"/>
        <w:gridCol w:w="1090"/>
        <w:gridCol w:w="1029"/>
      </w:tblGrid>
      <w:tr w:rsidR="00104546" w:rsidRPr="00104546" w14:paraId="13B1C2E5" w14:textId="77777777" w:rsidTr="00104546">
        <w:trPr>
          <w:trHeight w:val="320"/>
          <w:jc w:val="center"/>
        </w:trPr>
        <w:tc>
          <w:tcPr>
            <w:tcW w:w="2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3"/>
            <w:vAlign w:val="center"/>
            <w:hideMark/>
          </w:tcPr>
          <w:p w14:paraId="451B1294" w14:textId="77777777" w:rsidR="00104546" w:rsidRPr="00104546" w:rsidRDefault="00104546" w:rsidP="00104546">
            <w:pPr>
              <w:spacing w:after="0" w:line="240" w:lineRule="auto"/>
              <w:jc w:val="center"/>
              <w:rPr>
                <w:rFonts w:ascii="Gill Sans" w:eastAsia="Times New Roman" w:hAnsi="Gill Sans" w:cs="Times New Roman"/>
                <w:b/>
                <w:bCs/>
                <w:color w:val="000000"/>
                <w:lang w:eastAsia="en-GB"/>
              </w:rPr>
            </w:pPr>
            <w:r w:rsidRPr="00104546">
              <w:rPr>
                <w:rFonts w:ascii="Gill Sans" w:eastAsia="Times New Roman" w:hAnsi="Gill Sans" w:cs="Times New Roman"/>
                <w:b/>
                <w:bCs/>
                <w:color w:val="000000"/>
                <w:lang w:eastAsia="en-GB"/>
              </w:rPr>
              <w:t>Category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vAlign w:val="center"/>
            <w:hideMark/>
          </w:tcPr>
          <w:p w14:paraId="3AA49F18" w14:textId="77777777" w:rsidR="00104546" w:rsidRPr="00104546" w:rsidRDefault="00104546" w:rsidP="00104546">
            <w:pPr>
              <w:spacing w:after="0" w:line="240" w:lineRule="auto"/>
              <w:jc w:val="center"/>
              <w:rPr>
                <w:rFonts w:ascii="Gill Sans" w:eastAsia="Times New Roman" w:hAnsi="Gill Sans" w:cs="Times New Roman"/>
                <w:b/>
                <w:bCs/>
                <w:color w:val="000000"/>
                <w:lang w:eastAsia="en-GB"/>
              </w:rPr>
            </w:pPr>
            <w:r w:rsidRPr="00104546">
              <w:rPr>
                <w:rFonts w:ascii="Gill Sans" w:eastAsia="Times New Roman" w:hAnsi="Gill Sans" w:cs="Times New Roman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vAlign w:val="center"/>
            <w:hideMark/>
          </w:tcPr>
          <w:p w14:paraId="587821B3" w14:textId="77777777" w:rsidR="00104546" w:rsidRPr="00104546" w:rsidRDefault="00104546" w:rsidP="00104546">
            <w:pPr>
              <w:spacing w:after="0" w:line="240" w:lineRule="auto"/>
              <w:jc w:val="center"/>
              <w:rPr>
                <w:rFonts w:ascii="Gill Sans" w:eastAsia="Times New Roman" w:hAnsi="Gill Sans" w:cs="Times New Roman"/>
                <w:b/>
                <w:bCs/>
                <w:color w:val="000000"/>
                <w:lang w:eastAsia="en-GB"/>
              </w:rPr>
            </w:pPr>
            <w:r w:rsidRPr="00104546">
              <w:rPr>
                <w:rFonts w:ascii="Gill Sans" w:eastAsia="Times New Roman" w:hAnsi="Gill Sans" w:cs="Times New Roman"/>
                <w:b/>
                <w:bCs/>
                <w:color w:val="000000"/>
                <w:lang w:eastAsia="en-GB"/>
              </w:rPr>
              <w:t>%</w:t>
            </w:r>
          </w:p>
        </w:tc>
      </w:tr>
      <w:tr w:rsidR="00104546" w:rsidRPr="00104546" w14:paraId="50514C2F" w14:textId="77777777" w:rsidTr="00104546">
        <w:trPr>
          <w:trHeight w:val="540"/>
          <w:jc w:val="center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58E9021" w14:textId="77777777" w:rsidR="00104546" w:rsidRPr="00104546" w:rsidRDefault="00104546" w:rsidP="00104546">
            <w:pPr>
              <w:spacing w:after="0" w:line="240" w:lineRule="auto"/>
              <w:jc w:val="center"/>
              <w:rPr>
                <w:rFonts w:ascii="Gill Sans" w:eastAsia="Times New Roman" w:hAnsi="Gill Sans" w:cs="Times New Roman"/>
                <w:color w:val="000000"/>
                <w:lang w:eastAsia="en-GB"/>
              </w:rPr>
            </w:pPr>
            <w:r w:rsidRPr="00104546">
              <w:rPr>
                <w:rFonts w:ascii="Gill Sans" w:eastAsia="Times New Roman" w:hAnsi="Gill Sans" w:cs="Times New Roman"/>
                <w:color w:val="000000"/>
                <w:lang w:eastAsia="en-GB"/>
              </w:rPr>
              <w:t>Information Not Held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693BF9A8" w14:textId="77777777" w:rsidR="00104546" w:rsidRPr="00104546" w:rsidRDefault="00104546" w:rsidP="00104546">
            <w:pPr>
              <w:spacing w:after="0" w:line="240" w:lineRule="auto"/>
              <w:jc w:val="center"/>
              <w:rPr>
                <w:rFonts w:ascii="Gill Sans" w:eastAsia="Times New Roman" w:hAnsi="Gill Sans" w:cs="Times New Roman"/>
                <w:color w:val="000000"/>
                <w:lang w:eastAsia="en-GB"/>
              </w:rPr>
            </w:pPr>
            <w:r w:rsidRPr="00104546">
              <w:rPr>
                <w:rFonts w:ascii="Gill Sans" w:eastAsia="Times New Roman" w:hAnsi="Gill Sans" w:cs="Times New Roman"/>
                <w:color w:val="000000"/>
                <w:lang w:eastAsia="en-GB"/>
              </w:rPr>
              <w:t>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CE5A0A9" w14:textId="77777777" w:rsidR="00104546" w:rsidRPr="00104546" w:rsidRDefault="00104546" w:rsidP="00104546">
            <w:pPr>
              <w:spacing w:after="0" w:line="240" w:lineRule="auto"/>
              <w:jc w:val="center"/>
              <w:rPr>
                <w:rFonts w:ascii="Gill Sans" w:eastAsia="Times New Roman" w:hAnsi="Gill Sans" w:cs="Times New Roman"/>
                <w:color w:val="000000"/>
                <w:lang w:eastAsia="en-GB"/>
              </w:rPr>
            </w:pPr>
            <w:r w:rsidRPr="00104546">
              <w:rPr>
                <w:rFonts w:ascii="Gill Sans" w:eastAsia="Times New Roman" w:hAnsi="Gill Sans" w:cs="Times New Roman"/>
                <w:color w:val="000000"/>
                <w:lang w:eastAsia="en-GB"/>
              </w:rPr>
              <w:t>4%</w:t>
            </w:r>
          </w:p>
        </w:tc>
      </w:tr>
      <w:tr w:rsidR="00104546" w:rsidRPr="00104546" w14:paraId="717BB983" w14:textId="77777777" w:rsidTr="00104546">
        <w:trPr>
          <w:trHeight w:val="540"/>
          <w:jc w:val="center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9E48A47" w14:textId="77777777" w:rsidR="00104546" w:rsidRPr="00104546" w:rsidRDefault="00104546" w:rsidP="00104546">
            <w:pPr>
              <w:spacing w:after="0" w:line="240" w:lineRule="auto"/>
              <w:jc w:val="center"/>
              <w:rPr>
                <w:rFonts w:ascii="Gill Sans" w:eastAsia="Times New Roman" w:hAnsi="Gill Sans" w:cs="Times New Roman"/>
                <w:color w:val="000000"/>
                <w:lang w:eastAsia="en-GB"/>
              </w:rPr>
            </w:pPr>
            <w:r w:rsidRPr="00104546">
              <w:rPr>
                <w:rFonts w:ascii="Gill Sans" w:eastAsia="Times New Roman" w:hAnsi="Gill Sans" w:cs="Times New Roman"/>
                <w:color w:val="000000"/>
                <w:lang w:eastAsia="en-GB"/>
              </w:rPr>
              <w:t>Information Partially Held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F99B284" w14:textId="77777777" w:rsidR="00104546" w:rsidRPr="00104546" w:rsidRDefault="00104546" w:rsidP="00104546">
            <w:pPr>
              <w:spacing w:after="0" w:line="240" w:lineRule="auto"/>
              <w:jc w:val="center"/>
              <w:rPr>
                <w:rFonts w:ascii="Gill Sans" w:eastAsia="Times New Roman" w:hAnsi="Gill Sans" w:cs="Times New Roman"/>
                <w:color w:val="000000"/>
                <w:lang w:eastAsia="en-GB"/>
              </w:rPr>
            </w:pPr>
            <w:r w:rsidRPr="00104546">
              <w:rPr>
                <w:rFonts w:ascii="Gill Sans" w:eastAsia="Times New Roman" w:hAnsi="Gill Sans" w:cs="Times New Roman"/>
                <w:color w:val="000000"/>
                <w:lang w:eastAsia="en-GB"/>
              </w:rPr>
              <w:t>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6623AEF" w14:textId="77777777" w:rsidR="00104546" w:rsidRPr="00104546" w:rsidRDefault="00104546" w:rsidP="00104546">
            <w:pPr>
              <w:spacing w:after="0" w:line="240" w:lineRule="auto"/>
              <w:jc w:val="center"/>
              <w:rPr>
                <w:rFonts w:ascii="Gill Sans" w:eastAsia="Times New Roman" w:hAnsi="Gill Sans" w:cs="Times New Roman"/>
                <w:color w:val="000000"/>
                <w:lang w:eastAsia="en-GB"/>
              </w:rPr>
            </w:pPr>
            <w:r w:rsidRPr="00104546">
              <w:rPr>
                <w:rFonts w:ascii="Gill Sans" w:eastAsia="Times New Roman" w:hAnsi="Gill Sans" w:cs="Times New Roman"/>
                <w:color w:val="000000"/>
                <w:lang w:eastAsia="en-GB"/>
              </w:rPr>
              <w:t>6%</w:t>
            </w:r>
          </w:p>
        </w:tc>
      </w:tr>
      <w:tr w:rsidR="00104546" w:rsidRPr="00104546" w14:paraId="531E65FD" w14:textId="77777777" w:rsidTr="00104546">
        <w:trPr>
          <w:trHeight w:val="540"/>
          <w:jc w:val="center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288DCDD" w14:textId="77777777" w:rsidR="00104546" w:rsidRPr="00104546" w:rsidRDefault="00104546" w:rsidP="00104546">
            <w:pPr>
              <w:spacing w:after="0" w:line="240" w:lineRule="auto"/>
              <w:jc w:val="center"/>
              <w:rPr>
                <w:rFonts w:ascii="Gill Sans" w:eastAsia="Times New Roman" w:hAnsi="Gill Sans" w:cs="Times New Roman"/>
                <w:color w:val="000000"/>
                <w:lang w:eastAsia="en-GB"/>
              </w:rPr>
            </w:pPr>
            <w:r w:rsidRPr="00104546">
              <w:rPr>
                <w:rFonts w:ascii="Gill Sans" w:eastAsia="Times New Roman" w:hAnsi="Gill Sans" w:cs="Times New Roman"/>
                <w:color w:val="000000"/>
                <w:lang w:eastAsia="en-GB"/>
              </w:rPr>
              <w:t>Information Partially Held, Partially Exempted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78DD0F1" w14:textId="77777777" w:rsidR="00104546" w:rsidRPr="00104546" w:rsidRDefault="00104546" w:rsidP="00104546">
            <w:pPr>
              <w:spacing w:after="0" w:line="240" w:lineRule="auto"/>
              <w:jc w:val="center"/>
              <w:rPr>
                <w:rFonts w:ascii="Gill Sans" w:eastAsia="Times New Roman" w:hAnsi="Gill Sans" w:cs="Times New Roman"/>
                <w:color w:val="000000"/>
                <w:lang w:eastAsia="en-GB"/>
              </w:rPr>
            </w:pPr>
            <w:r w:rsidRPr="00104546">
              <w:rPr>
                <w:rFonts w:ascii="Gill Sans" w:eastAsia="Times New Roman" w:hAnsi="Gill Sans" w:cs="Times New Roman"/>
                <w:color w:val="000000"/>
                <w:lang w:eastAsia="en-GB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6959268" w14:textId="77777777" w:rsidR="00104546" w:rsidRPr="00104546" w:rsidRDefault="00104546" w:rsidP="00104546">
            <w:pPr>
              <w:spacing w:after="0" w:line="240" w:lineRule="auto"/>
              <w:jc w:val="center"/>
              <w:rPr>
                <w:rFonts w:ascii="Gill Sans" w:eastAsia="Times New Roman" w:hAnsi="Gill Sans" w:cs="Times New Roman"/>
                <w:color w:val="000000"/>
                <w:lang w:eastAsia="en-GB"/>
              </w:rPr>
            </w:pPr>
            <w:r w:rsidRPr="00104546">
              <w:rPr>
                <w:rFonts w:ascii="Gill Sans" w:eastAsia="Times New Roman" w:hAnsi="Gill Sans" w:cs="Times New Roman"/>
                <w:color w:val="000000"/>
                <w:lang w:eastAsia="en-GB"/>
              </w:rPr>
              <w:t>1%</w:t>
            </w:r>
          </w:p>
        </w:tc>
      </w:tr>
      <w:tr w:rsidR="00104546" w:rsidRPr="00104546" w14:paraId="61E827D4" w14:textId="77777777" w:rsidTr="00104546">
        <w:trPr>
          <w:trHeight w:val="540"/>
          <w:jc w:val="center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14:paraId="503B7C51" w14:textId="77777777" w:rsidR="00104546" w:rsidRPr="00104546" w:rsidRDefault="00104546" w:rsidP="00104546">
            <w:pPr>
              <w:spacing w:after="0" w:line="240" w:lineRule="auto"/>
              <w:jc w:val="center"/>
              <w:rPr>
                <w:rFonts w:ascii="Gill Sans" w:eastAsia="Times New Roman" w:hAnsi="Gill Sans" w:cs="Times New Roman"/>
                <w:color w:val="000000"/>
                <w:lang w:eastAsia="en-GB"/>
              </w:rPr>
            </w:pPr>
            <w:r w:rsidRPr="00104546">
              <w:rPr>
                <w:rFonts w:ascii="Gill Sans" w:eastAsia="Times New Roman" w:hAnsi="Gill Sans" w:cs="Times New Roman"/>
                <w:color w:val="000000"/>
                <w:lang w:eastAsia="en-GB"/>
              </w:rPr>
              <w:t>Fully Exempted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14:paraId="151D0E5D" w14:textId="77777777" w:rsidR="00104546" w:rsidRPr="00104546" w:rsidRDefault="00104546" w:rsidP="00104546">
            <w:pPr>
              <w:spacing w:after="0" w:line="240" w:lineRule="auto"/>
              <w:jc w:val="center"/>
              <w:rPr>
                <w:rFonts w:ascii="Gill Sans" w:eastAsia="Times New Roman" w:hAnsi="Gill Sans" w:cs="Times New Roman"/>
                <w:color w:val="000000"/>
                <w:lang w:eastAsia="en-GB"/>
              </w:rPr>
            </w:pPr>
            <w:r w:rsidRPr="00104546">
              <w:rPr>
                <w:rFonts w:ascii="Gill Sans" w:eastAsia="Times New Roman" w:hAnsi="Gill Sans" w:cs="Times New Roman"/>
                <w:color w:val="000000"/>
                <w:lang w:eastAsia="en-GB"/>
              </w:rPr>
              <w:t>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14:paraId="16BCBE95" w14:textId="77777777" w:rsidR="00104546" w:rsidRPr="00104546" w:rsidRDefault="00104546" w:rsidP="00104546">
            <w:pPr>
              <w:spacing w:after="0" w:line="240" w:lineRule="auto"/>
              <w:jc w:val="center"/>
              <w:rPr>
                <w:rFonts w:ascii="Gill Sans" w:eastAsia="Times New Roman" w:hAnsi="Gill Sans" w:cs="Times New Roman"/>
                <w:color w:val="000000"/>
                <w:lang w:eastAsia="en-GB"/>
              </w:rPr>
            </w:pPr>
            <w:r w:rsidRPr="00104546">
              <w:rPr>
                <w:rFonts w:ascii="Gill Sans" w:eastAsia="Times New Roman" w:hAnsi="Gill Sans" w:cs="Times New Roman"/>
                <w:color w:val="000000"/>
                <w:lang w:eastAsia="en-GB"/>
              </w:rPr>
              <w:t>6%</w:t>
            </w:r>
          </w:p>
        </w:tc>
      </w:tr>
      <w:tr w:rsidR="00104546" w:rsidRPr="00104546" w14:paraId="05073A8B" w14:textId="77777777" w:rsidTr="00104546">
        <w:trPr>
          <w:trHeight w:val="540"/>
          <w:jc w:val="center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224CD7B8" w14:textId="77777777" w:rsidR="00104546" w:rsidRPr="00104546" w:rsidRDefault="00104546" w:rsidP="00104546">
            <w:pPr>
              <w:spacing w:after="0" w:line="240" w:lineRule="auto"/>
              <w:jc w:val="center"/>
              <w:rPr>
                <w:rFonts w:ascii="Gill Sans" w:eastAsia="Times New Roman" w:hAnsi="Gill Sans" w:cs="Times New Roman"/>
                <w:color w:val="000000"/>
                <w:lang w:eastAsia="en-GB"/>
              </w:rPr>
            </w:pPr>
            <w:r w:rsidRPr="00104546">
              <w:rPr>
                <w:rFonts w:ascii="Gill Sans" w:eastAsia="Times New Roman" w:hAnsi="Gill Sans" w:cs="Times New Roman"/>
                <w:color w:val="000000"/>
                <w:lang w:eastAsia="en-GB"/>
              </w:rPr>
              <w:t>Partially Exempted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78FC704D" w14:textId="77777777" w:rsidR="00104546" w:rsidRPr="00104546" w:rsidRDefault="00104546" w:rsidP="00104546">
            <w:pPr>
              <w:spacing w:after="0" w:line="240" w:lineRule="auto"/>
              <w:jc w:val="center"/>
              <w:rPr>
                <w:rFonts w:ascii="Gill Sans" w:eastAsia="Times New Roman" w:hAnsi="Gill Sans" w:cs="Times New Roman"/>
                <w:color w:val="000000"/>
                <w:lang w:eastAsia="en-GB"/>
              </w:rPr>
            </w:pPr>
            <w:r w:rsidRPr="00104546">
              <w:rPr>
                <w:rFonts w:ascii="Gill Sans" w:eastAsia="Times New Roman" w:hAnsi="Gill Sans" w:cs="Times New Roman"/>
                <w:color w:val="000000"/>
                <w:lang w:eastAsia="en-GB"/>
              </w:rPr>
              <w:t>159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076D3E99" w14:textId="77777777" w:rsidR="00104546" w:rsidRPr="00104546" w:rsidRDefault="00104546" w:rsidP="00104546">
            <w:pPr>
              <w:spacing w:after="0" w:line="240" w:lineRule="auto"/>
              <w:jc w:val="center"/>
              <w:rPr>
                <w:rFonts w:ascii="Gill Sans" w:eastAsia="Times New Roman" w:hAnsi="Gill Sans" w:cs="Times New Roman"/>
                <w:color w:val="000000"/>
                <w:lang w:eastAsia="en-GB"/>
              </w:rPr>
            </w:pPr>
            <w:r w:rsidRPr="00104546">
              <w:rPr>
                <w:rFonts w:ascii="Gill Sans" w:eastAsia="Times New Roman" w:hAnsi="Gill Sans" w:cs="Times New Roman"/>
                <w:color w:val="000000"/>
                <w:lang w:eastAsia="en-GB"/>
              </w:rPr>
              <w:t>11%</w:t>
            </w:r>
          </w:p>
        </w:tc>
      </w:tr>
      <w:tr w:rsidR="00104546" w:rsidRPr="00104546" w14:paraId="289D026C" w14:textId="77777777" w:rsidTr="00104546">
        <w:trPr>
          <w:trHeight w:val="540"/>
          <w:jc w:val="center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15D9A80" w14:textId="77777777" w:rsidR="00104546" w:rsidRPr="00104546" w:rsidRDefault="00104546" w:rsidP="00104546">
            <w:pPr>
              <w:spacing w:after="0" w:line="240" w:lineRule="auto"/>
              <w:jc w:val="center"/>
              <w:rPr>
                <w:rFonts w:ascii="Gill Sans" w:eastAsia="Times New Roman" w:hAnsi="Gill Sans" w:cs="Times New Roman"/>
                <w:color w:val="000000"/>
                <w:lang w:eastAsia="en-GB"/>
              </w:rPr>
            </w:pPr>
            <w:r w:rsidRPr="00104546">
              <w:rPr>
                <w:rFonts w:ascii="Gill Sans" w:eastAsia="Times New Roman" w:hAnsi="Gill Sans" w:cs="Times New Roman"/>
                <w:color w:val="000000"/>
                <w:lang w:eastAsia="en-GB"/>
              </w:rPr>
              <w:t>No Exemption Applied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EFCD638" w14:textId="77777777" w:rsidR="00104546" w:rsidRPr="00104546" w:rsidRDefault="00104546" w:rsidP="00104546">
            <w:pPr>
              <w:spacing w:after="0" w:line="240" w:lineRule="auto"/>
              <w:jc w:val="center"/>
              <w:rPr>
                <w:rFonts w:ascii="Gill Sans" w:eastAsia="Times New Roman" w:hAnsi="Gill Sans" w:cs="Times New Roman"/>
                <w:color w:val="000000"/>
                <w:lang w:eastAsia="en-GB"/>
              </w:rPr>
            </w:pPr>
            <w:r w:rsidRPr="00104546">
              <w:rPr>
                <w:rFonts w:ascii="Gill Sans" w:eastAsia="Times New Roman" w:hAnsi="Gill Sans" w:cs="Times New Roman"/>
                <w:color w:val="000000"/>
                <w:lang w:eastAsia="en-GB"/>
              </w:rPr>
              <w:t>1070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4B32B9D" w14:textId="77777777" w:rsidR="00104546" w:rsidRPr="00104546" w:rsidRDefault="00104546" w:rsidP="00104546">
            <w:pPr>
              <w:spacing w:after="0" w:line="240" w:lineRule="auto"/>
              <w:jc w:val="center"/>
              <w:rPr>
                <w:rFonts w:ascii="Gill Sans" w:eastAsia="Times New Roman" w:hAnsi="Gill Sans" w:cs="Times New Roman"/>
                <w:color w:val="000000"/>
                <w:lang w:eastAsia="en-GB"/>
              </w:rPr>
            </w:pPr>
            <w:r w:rsidRPr="00104546">
              <w:rPr>
                <w:rFonts w:ascii="Gill Sans" w:eastAsia="Times New Roman" w:hAnsi="Gill Sans" w:cs="Times New Roman"/>
                <w:color w:val="000000"/>
                <w:lang w:eastAsia="en-GB"/>
              </w:rPr>
              <w:t>71%</w:t>
            </w:r>
          </w:p>
        </w:tc>
      </w:tr>
      <w:tr w:rsidR="00104546" w:rsidRPr="00104546" w14:paraId="40D0EF1E" w14:textId="77777777" w:rsidTr="00104546">
        <w:trPr>
          <w:trHeight w:val="540"/>
          <w:jc w:val="center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030A0"/>
            <w:vAlign w:val="center"/>
            <w:hideMark/>
          </w:tcPr>
          <w:p w14:paraId="2A72C1A7" w14:textId="77777777" w:rsidR="00104546" w:rsidRPr="00104546" w:rsidRDefault="00104546" w:rsidP="00104546">
            <w:pPr>
              <w:spacing w:after="0" w:line="240" w:lineRule="auto"/>
              <w:jc w:val="center"/>
              <w:rPr>
                <w:rFonts w:ascii="Gill Sans" w:eastAsia="Times New Roman" w:hAnsi="Gill Sans" w:cs="Times New Roman"/>
                <w:color w:val="000000"/>
                <w:lang w:eastAsia="en-GB"/>
              </w:rPr>
            </w:pPr>
            <w:r w:rsidRPr="00104546">
              <w:rPr>
                <w:rFonts w:ascii="Gill Sans" w:eastAsia="Times New Roman" w:hAnsi="Gill Sans" w:cs="Times New Roman"/>
                <w:color w:val="000000"/>
                <w:lang w:eastAsia="en-GB"/>
              </w:rPr>
              <w:t>Closed for Clarification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30A0"/>
            <w:vAlign w:val="center"/>
            <w:hideMark/>
          </w:tcPr>
          <w:p w14:paraId="0F7BE409" w14:textId="77777777" w:rsidR="00104546" w:rsidRPr="00104546" w:rsidRDefault="00104546" w:rsidP="00104546">
            <w:pPr>
              <w:spacing w:after="0" w:line="240" w:lineRule="auto"/>
              <w:jc w:val="center"/>
              <w:rPr>
                <w:rFonts w:ascii="Gill Sans" w:eastAsia="Times New Roman" w:hAnsi="Gill Sans" w:cs="Times New Roman"/>
                <w:color w:val="000000"/>
                <w:lang w:eastAsia="en-GB"/>
              </w:rPr>
            </w:pPr>
            <w:r w:rsidRPr="00104546">
              <w:rPr>
                <w:rFonts w:ascii="Gill Sans" w:eastAsia="Times New Roman" w:hAnsi="Gill Sans" w:cs="Times New Roman"/>
                <w:color w:val="000000"/>
                <w:lang w:eastAsia="en-GB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30A0"/>
            <w:vAlign w:val="center"/>
            <w:hideMark/>
          </w:tcPr>
          <w:p w14:paraId="1EE7E1DF" w14:textId="77777777" w:rsidR="00104546" w:rsidRPr="00104546" w:rsidRDefault="00104546" w:rsidP="00104546">
            <w:pPr>
              <w:spacing w:after="0" w:line="240" w:lineRule="auto"/>
              <w:jc w:val="center"/>
              <w:rPr>
                <w:rFonts w:ascii="Gill Sans" w:eastAsia="Times New Roman" w:hAnsi="Gill Sans" w:cs="Times New Roman"/>
                <w:color w:val="000000"/>
                <w:lang w:eastAsia="en-GB"/>
              </w:rPr>
            </w:pPr>
            <w:r w:rsidRPr="00104546">
              <w:rPr>
                <w:rFonts w:ascii="Gill Sans" w:eastAsia="Times New Roman" w:hAnsi="Gill Sans" w:cs="Times New Roman"/>
                <w:color w:val="000000"/>
                <w:lang w:eastAsia="en-GB"/>
              </w:rPr>
              <w:t>1%</w:t>
            </w:r>
          </w:p>
        </w:tc>
      </w:tr>
    </w:tbl>
    <w:p w14:paraId="5D935831" w14:textId="7EF762CC" w:rsidR="00331981" w:rsidRDefault="00A1350E" w:rsidP="00EB0791">
      <w:pPr>
        <w:spacing w:after="0" w:line="240" w:lineRule="auto"/>
        <w:contextualSpacing/>
        <w:jc w:val="center"/>
        <w:rPr>
          <w:rFonts w:ascii="Gill Sans" w:eastAsia="Calibri" w:hAnsi="Gill Sans" w:cs="Times New Roman"/>
          <w:sz w:val="28"/>
          <w:u w:val="single"/>
        </w:rPr>
      </w:pPr>
      <w:r>
        <w:rPr>
          <w:noProof/>
        </w:rPr>
        <w:lastRenderedPageBreak/>
        <w:drawing>
          <wp:inline distT="0" distB="0" distL="0" distR="0" wp14:anchorId="73962318" wp14:editId="02753C8D">
            <wp:extent cx="5970270" cy="3950091"/>
            <wp:effectExtent l="38100" t="57150" r="49530" b="50800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BAC25B51-7F51-40CD-8C61-8790492FCF4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78AB4A01" w14:textId="77777777" w:rsidR="00371DA1" w:rsidRDefault="00371DA1" w:rsidP="000423F5">
      <w:pPr>
        <w:spacing w:after="0" w:line="240" w:lineRule="auto"/>
        <w:contextualSpacing/>
        <w:rPr>
          <w:rFonts w:ascii="Gill Sans" w:eastAsia="Calibri" w:hAnsi="Gill Sans" w:cs="Times New Roman"/>
          <w:sz w:val="28"/>
          <w:u w:val="single"/>
        </w:rPr>
      </w:pPr>
    </w:p>
    <w:p w14:paraId="5E431261" w14:textId="77777777" w:rsidR="00D12449" w:rsidRDefault="00D12449" w:rsidP="000423F5">
      <w:pPr>
        <w:spacing w:after="0" w:line="240" w:lineRule="auto"/>
        <w:contextualSpacing/>
        <w:rPr>
          <w:rFonts w:ascii="Gill Sans" w:eastAsia="Calibri" w:hAnsi="Gill Sans" w:cs="Times New Roman"/>
          <w:sz w:val="28"/>
          <w:u w:val="single"/>
        </w:rPr>
      </w:pPr>
    </w:p>
    <w:p w14:paraId="4E25038E" w14:textId="77777777" w:rsidR="00D12449" w:rsidRDefault="00D12449" w:rsidP="000423F5">
      <w:pPr>
        <w:spacing w:after="0" w:line="240" w:lineRule="auto"/>
        <w:contextualSpacing/>
        <w:rPr>
          <w:rFonts w:ascii="Gill Sans" w:eastAsia="Calibri" w:hAnsi="Gill Sans" w:cs="Times New Roman"/>
          <w:sz w:val="28"/>
          <w:u w:val="single"/>
        </w:rPr>
      </w:pPr>
    </w:p>
    <w:p w14:paraId="7D064323" w14:textId="77777777" w:rsidR="00D12449" w:rsidRDefault="00D12449" w:rsidP="000423F5">
      <w:pPr>
        <w:spacing w:after="0" w:line="240" w:lineRule="auto"/>
        <w:contextualSpacing/>
        <w:rPr>
          <w:rFonts w:ascii="Gill Sans" w:eastAsia="Calibri" w:hAnsi="Gill Sans" w:cs="Times New Roman"/>
          <w:sz w:val="28"/>
          <w:u w:val="single"/>
        </w:rPr>
      </w:pPr>
    </w:p>
    <w:p w14:paraId="744A8CC6" w14:textId="77777777" w:rsidR="00CA7D76" w:rsidRDefault="00CA7D76" w:rsidP="000423F5">
      <w:pPr>
        <w:spacing w:after="0" w:line="240" w:lineRule="auto"/>
        <w:contextualSpacing/>
        <w:rPr>
          <w:rFonts w:ascii="Gill Sans" w:eastAsia="Calibri" w:hAnsi="Gill Sans" w:cs="Times New Roman"/>
          <w:sz w:val="28"/>
          <w:u w:val="single"/>
        </w:rPr>
      </w:pPr>
    </w:p>
    <w:p w14:paraId="6B0779E5" w14:textId="77777777" w:rsidR="000423F5" w:rsidRPr="00CA7D76" w:rsidRDefault="000423F5" w:rsidP="000423F5">
      <w:pPr>
        <w:spacing w:after="0" w:line="240" w:lineRule="auto"/>
        <w:contextualSpacing/>
        <w:rPr>
          <w:rFonts w:ascii="Gill Sans" w:eastAsia="Calibri" w:hAnsi="Gill Sans" w:cs="Times New Roman"/>
          <w:b/>
          <w:sz w:val="24"/>
          <w:u w:val="single"/>
        </w:rPr>
      </w:pPr>
      <w:r w:rsidRPr="00CA7D76">
        <w:rPr>
          <w:rFonts w:ascii="Gill Sans" w:eastAsia="Calibri" w:hAnsi="Gill Sans" w:cs="Times New Roman"/>
          <w:b/>
          <w:sz w:val="24"/>
          <w:u w:val="single"/>
        </w:rPr>
        <w:t>EIR Status report</w:t>
      </w:r>
    </w:p>
    <w:p w14:paraId="18DC2AAC" w14:textId="77777777" w:rsidR="00871981" w:rsidRPr="00CA7D76" w:rsidRDefault="00871981" w:rsidP="000423F5">
      <w:pPr>
        <w:spacing w:after="0" w:line="240" w:lineRule="auto"/>
        <w:contextualSpacing/>
        <w:rPr>
          <w:rFonts w:ascii="Gill Sans" w:eastAsia="Calibri" w:hAnsi="Gill Sans" w:cs="Times New Roman"/>
          <w:u w:val="single"/>
        </w:rPr>
      </w:pPr>
    </w:p>
    <w:p w14:paraId="515DD24A" w14:textId="1679058C" w:rsidR="00BD5B4D" w:rsidRPr="00CA7D76" w:rsidRDefault="000423F5" w:rsidP="000423F5">
      <w:pPr>
        <w:rPr>
          <w:rFonts w:ascii="Gill Sans" w:eastAsia="Calibri" w:hAnsi="Gill Sans" w:cs="Times New Roman"/>
        </w:rPr>
      </w:pPr>
      <w:r w:rsidRPr="00CA7D76">
        <w:rPr>
          <w:rFonts w:ascii="Gill Sans" w:eastAsia="Calibri" w:hAnsi="Gill Sans" w:cs="Times New Roman"/>
        </w:rPr>
        <w:t xml:space="preserve">In line with the ICO’s requirements, we have produced the </w:t>
      </w:r>
      <w:r w:rsidR="001B2A38" w:rsidRPr="00CA7D76">
        <w:rPr>
          <w:rFonts w:ascii="Gill Sans" w:eastAsia="Calibri" w:hAnsi="Gill Sans" w:cs="Times New Roman"/>
        </w:rPr>
        <w:t xml:space="preserve">EIR Status report, as set out below </w:t>
      </w:r>
      <w:r w:rsidR="00B541DC" w:rsidRPr="00CA7D76">
        <w:rPr>
          <w:rFonts w:ascii="Gill Sans" w:eastAsia="Calibri" w:hAnsi="Gill Sans" w:cs="Times New Roman"/>
        </w:rPr>
        <w:t>for the 20</w:t>
      </w:r>
      <w:r w:rsidR="00624B09">
        <w:rPr>
          <w:rFonts w:ascii="Gill Sans" w:eastAsia="Calibri" w:hAnsi="Gill Sans" w:cs="Times New Roman"/>
        </w:rPr>
        <w:t>2</w:t>
      </w:r>
      <w:r w:rsidR="008F1C3A">
        <w:rPr>
          <w:rFonts w:ascii="Gill Sans" w:eastAsia="Calibri" w:hAnsi="Gill Sans" w:cs="Times New Roman"/>
        </w:rPr>
        <w:t>1</w:t>
      </w:r>
      <w:r w:rsidR="00270B62" w:rsidRPr="00CA7D76">
        <w:rPr>
          <w:rFonts w:ascii="Gill Sans" w:eastAsia="Calibri" w:hAnsi="Gill Sans" w:cs="Times New Roman"/>
        </w:rPr>
        <w:t xml:space="preserve"> </w:t>
      </w:r>
      <w:r w:rsidR="00EB0791">
        <w:rPr>
          <w:rFonts w:ascii="Gill Sans" w:eastAsia="Calibri" w:hAnsi="Gill Sans" w:cs="Times New Roman"/>
        </w:rPr>
        <w:t>calendar</w:t>
      </w:r>
      <w:r w:rsidRPr="00CA7D76">
        <w:rPr>
          <w:rFonts w:ascii="Gill Sans" w:eastAsia="Calibri" w:hAnsi="Gill Sans" w:cs="Times New Roman"/>
        </w:rPr>
        <w:t xml:space="preserve"> year, recording the instances in which information has either been held, partially</w:t>
      </w:r>
      <w:r w:rsidR="001B2A38" w:rsidRPr="00CA7D76">
        <w:rPr>
          <w:rFonts w:ascii="Gill Sans" w:eastAsia="Calibri" w:hAnsi="Gill Sans" w:cs="Times New Roman"/>
        </w:rPr>
        <w:t xml:space="preserve"> held</w:t>
      </w:r>
      <w:r w:rsidRPr="00CA7D76">
        <w:rPr>
          <w:rFonts w:ascii="Gill Sans" w:eastAsia="Calibri" w:hAnsi="Gill Sans" w:cs="Times New Roman"/>
        </w:rPr>
        <w:t xml:space="preserve"> or not held, and where information has been either fully or partially ex</w:t>
      </w:r>
      <w:r w:rsidR="00A3527E" w:rsidRPr="00CA7D76">
        <w:rPr>
          <w:rFonts w:ascii="Gill Sans" w:eastAsia="Calibri" w:hAnsi="Gill Sans" w:cs="Times New Roman"/>
        </w:rPr>
        <w:t>c</w:t>
      </w:r>
      <w:r w:rsidRPr="00CA7D76">
        <w:rPr>
          <w:rFonts w:ascii="Gill Sans" w:eastAsia="Calibri" w:hAnsi="Gill Sans" w:cs="Times New Roman"/>
        </w:rPr>
        <w:t>epted.</w:t>
      </w:r>
    </w:p>
    <w:p w14:paraId="17593781" w14:textId="77777777" w:rsidR="00152180" w:rsidRPr="00DC2ECF" w:rsidRDefault="00152180" w:rsidP="00D12449">
      <w:pPr>
        <w:jc w:val="center"/>
        <w:rPr>
          <w:rFonts w:ascii="Gill Sans" w:eastAsia="Calibri" w:hAnsi="Gill Sans" w:cs="Times New Roman"/>
          <w:sz w:val="24"/>
        </w:rPr>
      </w:pPr>
    </w:p>
    <w:tbl>
      <w:tblPr>
        <w:tblW w:w="5060" w:type="dxa"/>
        <w:jc w:val="center"/>
        <w:tblLook w:val="04A0" w:firstRow="1" w:lastRow="0" w:firstColumn="1" w:lastColumn="0" w:noHBand="0" w:noVBand="1"/>
      </w:tblPr>
      <w:tblGrid>
        <w:gridCol w:w="2941"/>
        <w:gridCol w:w="1090"/>
        <w:gridCol w:w="1029"/>
      </w:tblGrid>
      <w:tr w:rsidR="00ED64D0" w:rsidRPr="00ED64D0" w14:paraId="641B632E" w14:textId="77777777" w:rsidTr="00ED64D0">
        <w:trPr>
          <w:trHeight w:val="320"/>
          <w:jc w:val="center"/>
        </w:trPr>
        <w:tc>
          <w:tcPr>
            <w:tcW w:w="2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3"/>
            <w:vAlign w:val="center"/>
            <w:hideMark/>
          </w:tcPr>
          <w:p w14:paraId="389ECA81" w14:textId="77777777" w:rsidR="00ED64D0" w:rsidRPr="00ED64D0" w:rsidRDefault="00ED64D0" w:rsidP="00ED64D0">
            <w:pPr>
              <w:spacing w:after="0" w:line="240" w:lineRule="auto"/>
              <w:jc w:val="center"/>
              <w:rPr>
                <w:rFonts w:ascii="Gill Sans" w:eastAsia="Times New Roman" w:hAnsi="Gill Sans" w:cs="Times New Roman"/>
                <w:b/>
                <w:bCs/>
                <w:color w:val="000000"/>
                <w:lang w:eastAsia="en-GB"/>
              </w:rPr>
            </w:pPr>
            <w:r w:rsidRPr="00ED64D0">
              <w:rPr>
                <w:rFonts w:ascii="Gill Sans" w:eastAsia="Times New Roman" w:hAnsi="Gill Sans" w:cs="Times New Roman"/>
                <w:b/>
                <w:bCs/>
                <w:color w:val="000000"/>
                <w:lang w:eastAsia="en-GB"/>
              </w:rPr>
              <w:t>Category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vAlign w:val="center"/>
            <w:hideMark/>
          </w:tcPr>
          <w:p w14:paraId="3ECB8670" w14:textId="77777777" w:rsidR="00ED64D0" w:rsidRPr="00ED64D0" w:rsidRDefault="00ED64D0" w:rsidP="00ED64D0">
            <w:pPr>
              <w:spacing w:after="0" w:line="240" w:lineRule="auto"/>
              <w:jc w:val="center"/>
              <w:rPr>
                <w:rFonts w:ascii="Gill Sans" w:eastAsia="Times New Roman" w:hAnsi="Gill Sans" w:cs="Times New Roman"/>
                <w:b/>
                <w:bCs/>
                <w:color w:val="000000"/>
                <w:lang w:eastAsia="en-GB"/>
              </w:rPr>
            </w:pPr>
            <w:r w:rsidRPr="00ED64D0">
              <w:rPr>
                <w:rFonts w:ascii="Gill Sans" w:eastAsia="Times New Roman" w:hAnsi="Gill Sans" w:cs="Times New Roman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vAlign w:val="center"/>
            <w:hideMark/>
          </w:tcPr>
          <w:p w14:paraId="20F14CC8" w14:textId="77777777" w:rsidR="00ED64D0" w:rsidRPr="00ED64D0" w:rsidRDefault="00ED64D0" w:rsidP="00ED64D0">
            <w:pPr>
              <w:spacing w:after="0" w:line="240" w:lineRule="auto"/>
              <w:jc w:val="center"/>
              <w:rPr>
                <w:rFonts w:ascii="Gill Sans" w:eastAsia="Times New Roman" w:hAnsi="Gill Sans" w:cs="Times New Roman"/>
                <w:b/>
                <w:bCs/>
                <w:color w:val="000000"/>
                <w:lang w:eastAsia="en-GB"/>
              </w:rPr>
            </w:pPr>
            <w:r w:rsidRPr="00ED64D0">
              <w:rPr>
                <w:rFonts w:ascii="Gill Sans" w:eastAsia="Times New Roman" w:hAnsi="Gill Sans" w:cs="Times New Roman"/>
                <w:b/>
                <w:bCs/>
                <w:color w:val="000000"/>
                <w:lang w:eastAsia="en-GB"/>
              </w:rPr>
              <w:t>%</w:t>
            </w:r>
          </w:p>
        </w:tc>
      </w:tr>
      <w:tr w:rsidR="00ED64D0" w:rsidRPr="00ED64D0" w14:paraId="72AF94A9" w14:textId="77777777" w:rsidTr="00ED64D0">
        <w:trPr>
          <w:trHeight w:val="540"/>
          <w:jc w:val="center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9B8C357" w14:textId="77777777" w:rsidR="00ED64D0" w:rsidRPr="00ED64D0" w:rsidRDefault="00ED64D0" w:rsidP="00ED64D0">
            <w:pPr>
              <w:spacing w:after="0" w:line="240" w:lineRule="auto"/>
              <w:jc w:val="center"/>
              <w:rPr>
                <w:rFonts w:ascii="Gill Sans" w:eastAsia="Times New Roman" w:hAnsi="Gill Sans" w:cs="Times New Roman"/>
                <w:color w:val="000000"/>
                <w:lang w:eastAsia="en-GB"/>
              </w:rPr>
            </w:pPr>
            <w:r w:rsidRPr="00ED64D0">
              <w:rPr>
                <w:rFonts w:ascii="Gill Sans" w:eastAsia="Times New Roman" w:hAnsi="Gill Sans" w:cs="Times New Roman"/>
                <w:color w:val="000000"/>
                <w:lang w:eastAsia="en-GB"/>
              </w:rPr>
              <w:t>Information Not Held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02A9C1A" w14:textId="77777777" w:rsidR="00ED64D0" w:rsidRPr="00ED64D0" w:rsidRDefault="00ED64D0" w:rsidP="00ED64D0">
            <w:pPr>
              <w:spacing w:after="0" w:line="240" w:lineRule="auto"/>
              <w:jc w:val="center"/>
              <w:rPr>
                <w:rFonts w:ascii="Gill Sans" w:eastAsia="Times New Roman" w:hAnsi="Gill Sans" w:cs="Times New Roman"/>
                <w:color w:val="000000"/>
                <w:lang w:eastAsia="en-GB"/>
              </w:rPr>
            </w:pPr>
            <w:r w:rsidRPr="00ED64D0">
              <w:rPr>
                <w:rFonts w:ascii="Gill Sans" w:eastAsia="Times New Roman" w:hAnsi="Gill Sans" w:cs="Times New Roman"/>
                <w:color w:val="000000"/>
                <w:lang w:eastAsia="en-GB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DB34D76" w14:textId="77777777" w:rsidR="00ED64D0" w:rsidRPr="00ED64D0" w:rsidRDefault="00ED64D0" w:rsidP="00ED64D0">
            <w:pPr>
              <w:spacing w:after="0" w:line="240" w:lineRule="auto"/>
              <w:jc w:val="center"/>
              <w:rPr>
                <w:rFonts w:ascii="Gill Sans" w:eastAsia="Times New Roman" w:hAnsi="Gill Sans" w:cs="Times New Roman"/>
                <w:color w:val="000000"/>
                <w:lang w:eastAsia="en-GB"/>
              </w:rPr>
            </w:pPr>
            <w:r w:rsidRPr="00ED64D0">
              <w:rPr>
                <w:rFonts w:ascii="Gill Sans" w:eastAsia="Times New Roman" w:hAnsi="Gill Sans" w:cs="Times New Roman"/>
                <w:color w:val="000000"/>
                <w:lang w:eastAsia="en-GB"/>
              </w:rPr>
              <w:t>5%</w:t>
            </w:r>
          </w:p>
        </w:tc>
      </w:tr>
      <w:tr w:rsidR="00ED64D0" w:rsidRPr="00ED64D0" w14:paraId="632848B6" w14:textId="77777777" w:rsidTr="00ED64D0">
        <w:trPr>
          <w:trHeight w:val="540"/>
          <w:jc w:val="center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4E70DB5" w14:textId="77777777" w:rsidR="00ED64D0" w:rsidRPr="00ED64D0" w:rsidRDefault="00ED64D0" w:rsidP="00ED64D0">
            <w:pPr>
              <w:spacing w:after="0" w:line="240" w:lineRule="auto"/>
              <w:jc w:val="center"/>
              <w:rPr>
                <w:rFonts w:ascii="Gill Sans" w:eastAsia="Times New Roman" w:hAnsi="Gill Sans" w:cs="Times New Roman"/>
                <w:color w:val="000000"/>
                <w:lang w:eastAsia="en-GB"/>
              </w:rPr>
            </w:pPr>
            <w:r w:rsidRPr="00ED64D0">
              <w:rPr>
                <w:rFonts w:ascii="Gill Sans" w:eastAsia="Times New Roman" w:hAnsi="Gill Sans" w:cs="Times New Roman"/>
                <w:color w:val="000000"/>
                <w:lang w:eastAsia="en-GB"/>
              </w:rPr>
              <w:t>Information Partially Held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F05AB66" w14:textId="77777777" w:rsidR="00ED64D0" w:rsidRPr="00ED64D0" w:rsidRDefault="00ED64D0" w:rsidP="00ED64D0">
            <w:pPr>
              <w:spacing w:after="0" w:line="240" w:lineRule="auto"/>
              <w:jc w:val="center"/>
              <w:rPr>
                <w:rFonts w:ascii="Gill Sans" w:eastAsia="Times New Roman" w:hAnsi="Gill Sans" w:cs="Times New Roman"/>
                <w:color w:val="000000"/>
                <w:lang w:eastAsia="en-GB"/>
              </w:rPr>
            </w:pPr>
            <w:r w:rsidRPr="00ED64D0">
              <w:rPr>
                <w:rFonts w:ascii="Gill Sans" w:eastAsia="Times New Roman" w:hAnsi="Gill Sans" w:cs="Times New Roman"/>
                <w:color w:val="000000"/>
                <w:lang w:eastAsia="en-GB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78D4F4E" w14:textId="77777777" w:rsidR="00ED64D0" w:rsidRPr="00ED64D0" w:rsidRDefault="00ED64D0" w:rsidP="00ED64D0">
            <w:pPr>
              <w:spacing w:after="0" w:line="240" w:lineRule="auto"/>
              <w:jc w:val="center"/>
              <w:rPr>
                <w:rFonts w:ascii="Gill Sans" w:eastAsia="Times New Roman" w:hAnsi="Gill Sans" w:cs="Times New Roman"/>
                <w:color w:val="000000"/>
                <w:lang w:eastAsia="en-GB"/>
              </w:rPr>
            </w:pPr>
            <w:r w:rsidRPr="00ED64D0">
              <w:rPr>
                <w:rFonts w:ascii="Gill Sans" w:eastAsia="Times New Roman" w:hAnsi="Gill Sans" w:cs="Times New Roman"/>
                <w:color w:val="000000"/>
                <w:lang w:eastAsia="en-GB"/>
              </w:rPr>
              <w:t>5%</w:t>
            </w:r>
          </w:p>
        </w:tc>
      </w:tr>
      <w:tr w:rsidR="00ED64D0" w:rsidRPr="00ED64D0" w14:paraId="35ACEA43" w14:textId="77777777" w:rsidTr="00ED64D0">
        <w:trPr>
          <w:trHeight w:val="540"/>
          <w:jc w:val="center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B7A651B" w14:textId="77777777" w:rsidR="00ED64D0" w:rsidRPr="00ED64D0" w:rsidRDefault="00ED64D0" w:rsidP="00ED64D0">
            <w:pPr>
              <w:spacing w:after="0" w:line="240" w:lineRule="auto"/>
              <w:jc w:val="center"/>
              <w:rPr>
                <w:rFonts w:ascii="Gill Sans" w:eastAsia="Times New Roman" w:hAnsi="Gill Sans" w:cs="Times New Roman"/>
                <w:color w:val="000000"/>
                <w:lang w:eastAsia="en-GB"/>
              </w:rPr>
            </w:pPr>
            <w:r w:rsidRPr="00ED64D0">
              <w:rPr>
                <w:rFonts w:ascii="Gill Sans" w:eastAsia="Times New Roman" w:hAnsi="Gill Sans" w:cs="Times New Roman"/>
                <w:color w:val="000000"/>
                <w:lang w:eastAsia="en-GB"/>
              </w:rPr>
              <w:t>Information Partially Held, Partially Exempted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185815E" w14:textId="77777777" w:rsidR="00ED64D0" w:rsidRPr="00ED64D0" w:rsidRDefault="00ED64D0" w:rsidP="00ED64D0">
            <w:pPr>
              <w:spacing w:after="0" w:line="240" w:lineRule="auto"/>
              <w:jc w:val="center"/>
              <w:rPr>
                <w:rFonts w:ascii="Gill Sans" w:eastAsia="Times New Roman" w:hAnsi="Gill Sans" w:cs="Times New Roman"/>
                <w:color w:val="000000"/>
                <w:lang w:eastAsia="en-GB"/>
              </w:rPr>
            </w:pPr>
            <w:r w:rsidRPr="00ED64D0">
              <w:rPr>
                <w:rFonts w:ascii="Gill Sans" w:eastAsia="Times New Roman" w:hAnsi="Gill Sans" w:cs="Times New Roman"/>
                <w:color w:val="000000"/>
                <w:lang w:eastAsia="en-GB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9C0D4B5" w14:textId="77777777" w:rsidR="00ED64D0" w:rsidRPr="00ED64D0" w:rsidRDefault="00ED64D0" w:rsidP="00ED64D0">
            <w:pPr>
              <w:spacing w:after="0" w:line="240" w:lineRule="auto"/>
              <w:jc w:val="center"/>
              <w:rPr>
                <w:rFonts w:ascii="Gill Sans" w:eastAsia="Times New Roman" w:hAnsi="Gill Sans" w:cs="Times New Roman"/>
                <w:color w:val="000000"/>
                <w:lang w:eastAsia="en-GB"/>
              </w:rPr>
            </w:pPr>
            <w:r w:rsidRPr="00ED64D0">
              <w:rPr>
                <w:rFonts w:ascii="Gill Sans" w:eastAsia="Times New Roman" w:hAnsi="Gill Sans" w:cs="Times New Roman"/>
                <w:color w:val="000000"/>
                <w:lang w:eastAsia="en-GB"/>
              </w:rPr>
              <w:t>1%</w:t>
            </w:r>
          </w:p>
        </w:tc>
      </w:tr>
      <w:tr w:rsidR="00ED64D0" w:rsidRPr="00ED64D0" w14:paraId="1D7E7298" w14:textId="77777777" w:rsidTr="00ED64D0">
        <w:trPr>
          <w:trHeight w:val="540"/>
          <w:jc w:val="center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14:paraId="45A3E342" w14:textId="77777777" w:rsidR="00ED64D0" w:rsidRPr="00ED64D0" w:rsidRDefault="00ED64D0" w:rsidP="00ED64D0">
            <w:pPr>
              <w:spacing w:after="0" w:line="240" w:lineRule="auto"/>
              <w:jc w:val="center"/>
              <w:rPr>
                <w:rFonts w:ascii="Gill Sans" w:eastAsia="Times New Roman" w:hAnsi="Gill Sans" w:cs="Times New Roman"/>
                <w:color w:val="000000"/>
                <w:lang w:eastAsia="en-GB"/>
              </w:rPr>
            </w:pPr>
            <w:r w:rsidRPr="00ED64D0">
              <w:rPr>
                <w:rFonts w:ascii="Gill Sans" w:eastAsia="Times New Roman" w:hAnsi="Gill Sans" w:cs="Times New Roman"/>
                <w:color w:val="000000"/>
                <w:lang w:eastAsia="en-GB"/>
              </w:rPr>
              <w:t>Fully Exempted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14:paraId="3B52296D" w14:textId="77777777" w:rsidR="00ED64D0" w:rsidRPr="00ED64D0" w:rsidRDefault="00ED64D0" w:rsidP="00ED64D0">
            <w:pPr>
              <w:spacing w:after="0" w:line="240" w:lineRule="auto"/>
              <w:jc w:val="center"/>
              <w:rPr>
                <w:rFonts w:ascii="Gill Sans" w:eastAsia="Times New Roman" w:hAnsi="Gill Sans" w:cs="Times New Roman"/>
                <w:color w:val="000000"/>
                <w:lang w:eastAsia="en-GB"/>
              </w:rPr>
            </w:pPr>
            <w:r w:rsidRPr="00ED64D0">
              <w:rPr>
                <w:rFonts w:ascii="Gill Sans" w:eastAsia="Times New Roman" w:hAnsi="Gill Sans" w:cs="Times New Roman"/>
                <w:color w:val="000000"/>
                <w:lang w:eastAsia="en-GB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14:paraId="5A0C1B41" w14:textId="77777777" w:rsidR="00ED64D0" w:rsidRPr="00ED64D0" w:rsidRDefault="00ED64D0" w:rsidP="00ED64D0">
            <w:pPr>
              <w:spacing w:after="0" w:line="240" w:lineRule="auto"/>
              <w:jc w:val="center"/>
              <w:rPr>
                <w:rFonts w:ascii="Gill Sans" w:eastAsia="Times New Roman" w:hAnsi="Gill Sans" w:cs="Times New Roman"/>
                <w:color w:val="000000"/>
                <w:lang w:eastAsia="en-GB"/>
              </w:rPr>
            </w:pPr>
            <w:r w:rsidRPr="00ED64D0">
              <w:rPr>
                <w:rFonts w:ascii="Gill Sans" w:eastAsia="Times New Roman" w:hAnsi="Gill Sans" w:cs="Times New Roman"/>
                <w:color w:val="000000"/>
                <w:lang w:eastAsia="en-GB"/>
              </w:rPr>
              <w:t>10%</w:t>
            </w:r>
          </w:p>
        </w:tc>
      </w:tr>
      <w:tr w:rsidR="00ED64D0" w:rsidRPr="00ED64D0" w14:paraId="2A06E92E" w14:textId="77777777" w:rsidTr="00ED64D0">
        <w:trPr>
          <w:trHeight w:val="540"/>
          <w:jc w:val="center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16FEECDD" w14:textId="77777777" w:rsidR="00ED64D0" w:rsidRPr="00ED64D0" w:rsidRDefault="00ED64D0" w:rsidP="00ED64D0">
            <w:pPr>
              <w:spacing w:after="0" w:line="240" w:lineRule="auto"/>
              <w:jc w:val="center"/>
              <w:rPr>
                <w:rFonts w:ascii="Gill Sans" w:eastAsia="Times New Roman" w:hAnsi="Gill Sans" w:cs="Times New Roman"/>
                <w:color w:val="000000"/>
                <w:lang w:eastAsia="en-GB"/>
              </w:rPr>
            </w:pPr>
            <w:r w:rsidRPr="00ED64D0">
              <w:rPr>
                <w:rFonts w:ascii="Gill Sans" w:eastAsia="Times New Roman" w:hAnsi="Gill Sans" w:cs="Times New Roman"/>
                <w:color w:val="000000"/>
                <w:lang w:eastAsia="en-GB"/>
              </w:rPr>
              <w:t>Partially Exempted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4CD1A43D" w14:textId="77777777" w:rsidR="00ED64D0" w:rsidRPr="00ED64D0" w:rsidRDefault="00ED64D0" w:rsidP="00ED64D0">
            <w:pPr>
              <w:spacing w:after="0" w:line="240" w:lineRule="auto"/>
              <w:jc w:val="center"/>
              <w:rPr>
                <w:rFonts w:ascii="Gill Sans" w:eastAsia="Times New Roman" w:hAnsi="Gill Sans" w:cs="Times New Roman"/>
                <w:color w:val="000000"/>
                <w:lang w:eastAsia="en-GB"/>
              </w:rPr>
            </w:pPr>
            <w:r w:rsidRPr="00ED64D0">
              <w:rPr>
                <w:rFonts w:ascii="Gill Sans" w:eastAsia="Times New Roman" w:hAnsi="Gill Sans" w:cs="Times New Roman"/>
                <w:color w:val="000000"/>
                <w:lang w:eastAsia="en-GB"/>
              </w:rPr>
              <w:t>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21969CB7" w14:textId="77777777" w:rsidR="00ED64D0" w:rsidRPr="00ED64D0" w:rsidRDefault="00ED64D0" w:rsidP="00ED64D0">
            <w:pPr>
              <w:spacing w:after="0" w:line="240" w:lineRule="auto"/>
              <w:jc w:val="center"/>
              <w:rPr>
                <w:rFonts w:ascii="Gill Sans" w:eastAsia="Times New Roman" w:hAnsi="Gill Sans" w:cs="Times New Roman"/>
                <w:color w:val="000000"/>
                <w:lang w:eastAsia="en-GB"/>
              </w:rPr>
            </w:pPr>
            <w:r w:rsidRPr="00ED64D0">
              <w:rPr>
                <w:rFonts w:ascii="Gill Sans" w:eastAsia="Times New Roman" w:hAnsi="Gill Sans" w:cs="Times New Roman"/>
                <w:color w:val="000000"/>
                <w:lang w:eastAsia="en-GB"/>
              </w:rPr>
              <w:t>15%</w:t>
            </w:r>
          </w:p>
        </w:tc>
      </w:tr>
      <w:tr w:rsidR="00ED64D0" w:rsidRPr="00ED64D0" w14:paraId="36187EA0" w14:textId="77777777" w:rsidTr="00ED64D0">
        <w:trPr>
          <w:trHeight w:val="540"/>
          <w:jc w:val="center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62C553D" w14:textId="77777777" w:rsidR="00ED64D0" w:rsidRPr="00ED64D0" w:rsidRDefault="00ED64D0" w:rsidP="00ED64D0">
            <w:pPr>
              <w:spacing w:after="0" w:line="240" w:lineRule="auto"/>
              <w:jc w:val="center"/>
              <w:rPr>
                <w:rFonts w:ascii="Gill Sans" w:eastAsia="Times New Roman" w:hAnsi="Gill Sans" w:cs="Times New Roman"/>
                <w:color w:val="000000"/>
                <w:lang w:eastAsia="en-GB"/>
              </w:rPr>
            </w:pPr>
            <w:r w:rsidRPr="00ED64D0">
              <w:rPr>
                <w:rFonts w:ascii="Gill Sans" w:eastAsia="Times New Roman" w:hAnsi="Gill Sans" w:cs="Times New Roman"/>
                <w:color w:val="000000"/>
                <w:lang w:eastAsia="en-GB"/>
              </w:rPr>
              <w:t>No Exemption Applied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DCEE298" w14:textId="77777777" w:rsidR="00ED64D0" w:rsidRPr="00ED64D0" w:rsidRDefault="00ED64D0" w:rsidP="00ED64D0">
            <w:pPr>
              <w:spacing w:after="0" w:line="240" w:lineRule="auto"/>
              <w:jc w:val="center"/>
              <w:rPr>
                <w:rFonts w:ascii="Gill Sans" w:eastAsia="Times New Roman" w:hAnsi="Gill Sans" w:cs="Times New Roman"/>
                <w:color w:val="000000"/>
                <w:lang w:eastAsia="en-GB"/>
              </w:rPr>
            </w:pPr>
            <w:r w:rsidRPr="00ED64D0">
              <w:rPr>
                <w:rFonts w:ascii="Gill Sans" w:eastAsia="Times New Roman" w:hAnsi="Gill Sans" w:cs="Times New Roman"/>
                <w:color w:val="000000"/>
                <w:lang w:eastAsia="en-GB"/>
              </w:rPr>
              <w:t>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4D7CE78" w14:textId="77777777" w:rsidR="00ED64D0" w:rsidRPr="00ED64D0" w:rsidRDefault="00ED64D0" w:rsidP="00ED64D0">
            <w:pPr>
              <w:spacing w:after="0" w:line="240" w:lineRule="auto"/>
              <w:jc w:val="center"/>
              <w:rPr>
                <w:rFonts w:ascii="Gill Sans" w:eastAsia="Times New Roman" w:hAnsi="Gill Sans" w:cs="Times New Roman"/>
                <w:color w:val="000000"/>
                <w:lang w:eastAsia="en-GB"/>
              </w:rPr>
            </w:pPr>
            <w:r w:rsidRPr="00ED64D0">
              <w:rPr>
                <w:rFonts w:ascii="Gill Sans" w:eastAsia="Times New Roman" w:hAnsi="Gill Sans" w:cs="Times New Roman"/>
                <w:color w:val="000000"/>
                <w:lang w:eastAsia="en-GB"/>
              </w:rPr>
              <w:t>62%</w:t>
            </w:r>
          </w:p>
        </w:tc>
      </w:tr>
      <w:tr w:rsidR="00ED64D0" w:rsidRPr="00ED64D0" w14:paraId="491AD6A9" w14:textId="77777777" w:rsidTr="00ED64D0">
        <w:trPr>
          <w:trHeight w:val="540"/>
          <w:jc w:val="center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030A0"/>
            <w:vAlign w:val="center"/>
            <w:hideMark/>
          </w:tcPr>
          <w:p w14:paraId="64BEA055" w14:textId="77777777" w:rsidR="00ED64D0" w:rsidRPr="00ED64D0" w:rsidRDefault="00ED64D0" w:rsidP="00ED64D0">
            <w:pPr>
              <w:spacing w:after="0" w:line="240" w:lineRule="auto"/>
              <w:jc w:val="center"/>
              <w:rPr>
                <w:rFonts w:ascii="Gill Sans" w:eastAsia="Times New Roman" w:hAnsi="Gill Sans" w:cs="Times New Roman"/>
                <w:color w:val="000000"/>
                <w:lang w:eastAsia="en-GB"/>
              </w:rPr>
            </w:pPr>
            <w:r w:rsidRPr="00ED64D0">
              <w:rPr>
                <w:rFonts w:ascii="Gill Sans" w:eastAsia="Times New Roman" w:hAnsi="Gill Sans" w:cs="Times New Roman"/>
                <w:color w:val="000000"/>
                <w:lang w:eastAsia="en-GB"/>
              </w:rPr>
              <w:t>Closed for Clarification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30A0"/>
            <w:vAlign w:val="center"/>
            <w:hideMark/>
          </w:tcPr>
          <w:p w14:paraId="0019BF6A" w14:textId="77777777" w:rsidR="00ED64D0" w:rsidRPr="00ED64D0" w:rsidRDefault="00ED64D0" w:rsidP="00ED64D0">
            <w:pPr>
              <w:spacing w:after="0" w:line="240" w:lineRule="auto"/>
              <w:jc w:val="center"/>
              <w:rPr>
                <w:rFonts w:ascii="Gill Sans" w:eastAsia="Times New Roman" w:hAnsi="Gill Sans" w:cs="Times New Roman"/>
                <w:color w:val="000000"/>
                <w:lang w:eastAsia="en-GB"/>
              </w:rPr>
            </w:pPr>
            <w:r w:rsidRPr="00ED64D0">
              <w:rPr>
                <w:rFonts w:ascii="Gill Sans" w:eastAsia="Times New Roman" w:hAnsi="Gill Sans" w:cs="Times New Roman"/>
                <w:color w:val="000000"/>
                <w:lang w:eastAsia="en-GB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30A0"/>
            <w:vAlign w:val="center"/>
            <w:hideMark/>
          </w:tcPr>
          <w:p w14:paraId="76D0F383" w14:textId="77777777" w:rsidR="00ED64D0" w:rsidRPr="00ED64D0" w:rsidRDefault="00ED64D0" w:rsidP="00ED64D0">
            <w:pPr>
              <w:spacing w:after="0" w:line="240" w:lineRule="auto"/>
              <w:jc w:val="center"/>
              <w:rPr>
                <w:rFonts w:ascii="Gill Sans" w:eastAsia="Times New Roman" w:hAnsi="Gill Sans" w:cs="Times New Roman"/>
                <w:color w:val="000000"/>
                <w:lang w:eastAsia="en-GB"/>
              </w:rPr>
            </w:pPr>
            <w:r w:rsidRPr="00ED64D0">
              <w:rPr>
                <w:rFonts w:ascii="Gill Sans" w:eastAsia="Times New Roman" w:hAnsi="Gill Sans" w:cs="Times New Roman"/>
                <w:color w:val="000000"/>
                <w:lang w:eastAsia="en-GB"/>
              </w:rPr>
              <w:t>2%</w:t>
            </w:r>
          </w:p>
        </w:tc>
      </w:tr>
    </w:tbl>
    <w:p w14:paraId="6131448C" w14:textId="77777777" w:rsidR="00EB0791" w:rsidRDefault="00EB0791" w:rsidP="00EB0791">
      <w:pPr>
        <w:jc w:val="center"/>
        <w:rPr>
          <w:noProof/>
        </w:rPr>
      </w:pPr>
    </w:p>
    <w:p w14:paraId="3A1FA5FF" w14:textId="28036B75" w:rsidR="00D74A45" w:rsidRDefault="00ED64D0" w:rsidP="00EB0791">
      <w:pPr>
        <w:jc w:val="center"/>
        <w:rPr>
          <w:rFonts w:ascii="Gill Sans" w:eastAsia="Calibri" w:hAnsi="Gill Sans" w:cs="Times New Roman"/>
          <w:b/>
        </w:rPr>
      </w:pPr>
      <w:r>
        <w:rPr>
          <w:noProof/>
        </w:rPr>
        <w:lastRenderedPageBreak/>
        <w:drawing>
          <wp:inline distT="0" distB="0" distL="0" distR="0" wp14:anchorId="263E2ED6" wp14:editId="03D83514">
            <wp:extent cx="6011008" cy="3712845"/>
            <wp:effectExtent l="38100" t="57150" r="46990" b="40005"/>
            <wp:docPr id="4" name="Chart 4">
              <a:extLst xmlns:a="http://schemas.openxmlformats.org/drawingml/2006/main">
                <a:ext uri="{FF2B5EF4-FFF2-40B4-BE49-F238E27FC236}">
                  <a16:creationId xmlns:a16="http://schemas.microsoft.com/office/drawing/2014/main" id="{BAC25B51-7F51-40CD-8C61-8790492FCF4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B2FFA21" w14:textId="77777777" w:rsidR="00F63299" w:rsidRDefault="00F63299" w:rsidP="000423F5">
      <w:pPr>
        <w:rPr>
          <w:rFonts w:ascii="Gill Sans" w:eastAsia="Calibri" w:hAnsi="Gill Sans" w:cs="Times New Roman"/>
          <w:b/>
        </w:rPr>
      </w:pPr>
    </w:p>
    <w:p w14:paraId="2A9BC3AB" w14:textId="77777777" w:rsidR="00371DA1" w:rsidRPr="00DC2ECF" w:rsidRDefault="00371DA1" w:rsidP="000423F5">
      <w:pPr>
        <w:rPr>
          <w:rFonts w:ascii="Gill Sans" w:eastAsia="Calibri" w:hAnsi="Gill Sans" w:cs="Times New Roman"/>
          <w:b/>
        </w:rPr>
      </w:pPr>
    </w:p>
    <w:p w14:paraId="34AE3E61" w14:textId="77777777" w:rsidR="00C43791" w:rsidRPr="00CA7D76" w:rsidRDefault="00C43791" w:rsidP="00C43791">
      <w:pPr>
        <w:spacing w:after="0" w:line="240" w:lineRule="auto"/>
        <w:contextualSpacing/>
        <w:rPr>
          <w:rFonts w:ascii="Gill Sans" w:eastAsia="Calibri" w:hAnsi="Gill Sans" w:cs="Times New Roman"/>
          <w:b/>
          <w:sz w:val="24"/>
          <w:u w:val="single"/>
        </w:rPr>
      </w:pPr>
      <w:r w:rsidRPr="00CA7D76">
        <w:rPr>
          <w:rFonts w:ascii="Gill Sans" w:eastAsia="Calibri" w:hAnsi="Gill Sans" w:cs="Times New Roman"/>
          <w:b/>
          <w:sz w:val="24"/>
          <w:u w:val="single"/>
        </w:rPr>
        <w:t>FOI Internal Review report</w:t>
      </w:r>
    </w:p>
    <w:p w14:paraId="1B9BDF1D" w14:textId="77777777" w:rsidR="00871981" w:rsidRPr="00CA7D76" w:rsidRDefault="00871981" w:rsidP="00F14CAF">
      <w:pPr>
        <w:spacing w:after="0" w:line="240" w:lineRule="auto"/>
        <w:rPr>
          <w:rFonts w:ascii="Gill Sans" w:eastAsia="Calibri" w:hAnsi="Gill Sans" w:cs="Times New Roman"/>
        </w:rPr>
      </w:pPr>
    </w:p>
    <w:p w14:paraId="45CB2723" w14:textId="04A486BC" w:rsidR="006969A0" w:rsidRPr="00CA7D76" w:rsidRDefault="00C43791" w:rsidP="00C43791">
      <w:pPr>
        <w:rPr>
          <w:rFonts w:ascii="Gill Sans" w:eastAsia="Calibri" w:hAnsi="Gill Sans" w:cs="Times New Roman"/>
        </w:rPr>
      </w:pPr>
      <w:r w:rsidRPr="00CA7D76">
        <w:rPr>
          <w:rFonts w:ascii="Gill Sans" w:eastAsia="Calibri" w:hAnsi="Gill Sans" w:cs="Times New Roman"/>
        </w:rPr>
        <w:t>In line with the ICO’s requirements, we have produced the report</w:t>
      </w:r>
      <w:r w:rsidR="001B2A38" w:rsidRPr="00CA7D76">
        <w:rPr>
          <w:rFonts w:ascii="Gill Sans" w:eastAsia="Calibri" w:hAnsi="Gill Sans" w:cs="Times New Roman"/>
        </w:rPr>
        <w:t xml:space="preserve"> on FOI Internal Reviews</w:t>
      </w:r>
      <w:r w:rsidRPr="00CA7D76">
        <w:rPr>
          <w:rFonts w:ascii="Gill Sans" w:eastAsia="Calibri" w:hAnsi="Gill Sans" w:cs="Times New Roman"/>
        </w:rPr>
        <w:t xml:space="preserve"> for the </w:t>
      </w:r>
      <w:r w:rsidR="00B541DC" w:rsidRPr="00CA7D76">
        <w:rPr>
          <w:rFonts w:ascii="Gill Sans" w:eastAsia="Calibri" w:hAnsi="Gill Sans" w:cs="Times New Roman"/>
        </w:rPr>
        <w:t>20</w:t>
      </w:r>
      <w:r w:rsidR="00F63299">
        <w:rPr>
          <w:rFonts w:ascii="Gill Sans" w:eastAsia="Calibri" w:hAnsi="Gill Sans" w:cs="Times New Roman"/>
        </w:rPr>
        <w:t>2</w:t>
      </w:r>
      <w:r w:rsidR="006345CB">
        <w:rPr>
          <w:rFonts w:ascii="Gill Sans" w:eastAsia="Calibri" w:hAnsi="Gill Sans" w:cs="Times New Roman"/>
        </w:rPr>
        <w:t>2</w:t>
      </w:r>
      <w:r w:rsidR="00007344">
        <w:rPr>
          <w:rFonts w:ascii="Gill Sans" w:eastAsia="Calibri" w:hAnsi="Gill Sans" w:cs="Times New Roman"/>
        </w:rPr>
        <w:t xml:space="preserve"> </w:t>
      </w:r>
      <w:r w:rsidR="00EC5223">
        <w:rPr>
          <w:rFonts w:ascii="Gill Sans" w:eastAsia="Calibri" w:hAnsi="Gill Sans" w:cs="Times New Roman"/>
        </w:rPr>
        <w:t>c</w:t>
      </w:r>
      <w:r w:rsidR="00007344">
        <w:rPr>
          <w:rFonts w:ascii="Gill Sans" w:eastAsia="Calibri" w:hAnsi="Gill Sans" w:cs="Times New Roman"/>
        </w:rPr>
        <w:t>alendar</w:t>
      </w:r>
      <w:r w:rsidR="00F14CAF" w:rsidRPr="00CA7D76">
        <w:rPr>
          <w:rFonts w:ascii="Gill Sans" w:eastAsia="Calibri" w:hAnsi="Gill Sans" w:cs="Times New Roman"/>
        </w:rPr>
        <w:t xml:space="preserve"> year</w:t>
      </w:r>
      <w:r w:rsidRPr="00CA7D76">
        <w:rPr>
          <w:rFonts w:ascii="Gill Sans" w:eastAsia="Calibri" w:hAnsi="Gill Sans" w:cs="Times New Roman"/>
        </w:rPr>
        <w:t xml:space="preserve">, recording </w:t>
      </w:r>
      <w:r w:rsidR="001B2A38" w:rsidRPr="00CA7D76">
        <w:rPr>
          <w:rFonts w:ascii="Gill Sans" w:eastAsia="Calibri" w:hAnsi="Gill Sans" w:cs="Times New Roman"/>
        </w:rPr>
        <w:t xml:space="preserve">the instances in which </w:t>
      </w:r>
      <w:r w:rsidR="00761616">
        <w:rPr>
          <w:rFonts w:ascii="Gill Sans" w:eastAsia="Calibri" w:hAnsi="Gill Sans" w:cs="Times New Roman"/>
        </w:rPr>
        <w:t>any</w:t>
      </w:r>
      <w:r w:rsidR="001B2A38" w:rsidRPr="00CA7D76">
        <w:rPr>
          <w:rFonts w:ascii="Gill Sans" w:eastAsia="Calibri" w:hAnsi="Gill Sans" w:cs="Times New Roman"/>
        </w:rPr>
        <w:t xml:space="preserve"> Internal Reviews </w:t>
      </w:r>
      <w:r w:rsidR="00761616">
        <w:rPr>
          <w:rFonts w:ascii="Gill Sans" w:eastAsia="Calibri" w:hAnsi="Gill Sans" w:cs="Times New Roman"/>
        </w:rPr>
        <w:t xml:space="preserve">were </w:t>
      </w:r>
      <w:r w:rsidR="001B2A38" w:rsidRPr="00CA7D76">
        <w:rPr>
          <w:rFonts w:ascii="Gill Sans" w:eastAsia="Calibri" w:hAnsi="Gill Sans" w:cs="Times New Roman"/>
        </w:rPr>
        <w:t xml:space="preserve">either upheld, partially upheld or overturned </w:t>
      </w:r>
      <w:r w:rsidR="00761616">
        <w:rPr>
          <w:rFonts w:ascii="Gill Sans" w:eastAsia="Calibri" w:hAnsi="Gill Sans" w:cs="Times New Roman"/>
        </w:rPr>
        <w:t>for the</w:t>
      </w:r>
      <w:r w:rsidR="001B2A38" w:rsidRPr="00CA7D76">
        <w:rPr>
          <w:rFonts w:ascii="Gill Sans" w:eastAsia="Calibri" w:hAnsi="Gill Sans" w:cs="Times New Roman"/>
        </w:rPr>
        <w:t xml:space="preserve"> original FOI response. I.e. where an Internal review response is recorded as upheld, the Council is stating that its’ original response was correct.</w:t>
      </w:r>
    </w:p>
    <w:p w14:paraId="1DA94E1F" w14:textId="77777777" w:rsidR="00B7534D" w:rsidRDefault="0010328F" w:rsidP="00B7534D">
      <w:pPr>
        <w:spacing w:after="0" w:line="240" w:lineRule="auto"/>
        <w:jc w:val="center"/>
        <w:rPr>
          <w:rFonts w:ascii="Gill Sans" w:hAnsi="Gill Sans"/>
          <w:b/>
        </w:rPr>
      </w:pPr>
      <w:r>
        <w:rPr>
          <w:rFonts w:ascii="Gill Sans" w:hAnsi="Gill Sans"/>
          <w:b/>
        </w:rPr>
        <w:t xml:space="preserve">FOI </w:t>
      </w:r>
      <w:r w:rsidR="00B7534D" w:rsidRPr="00262DCF">
        <w:rPr>
          <w:rFonts w:ascii="Gill Sans" w:hAnsi="Gill Sans"/>
          <w:b/>
        </w:rPr>
        <w:t>INTERNAL REVIEWS</w:t>
      </w:r>
    </w:p>
    <w:p w14:paraId="0326BE07" w14:textId="22860A77" w:rsidR="00B7534D" w:rsidRDefault="00B7534D" w:rsidP="00B7534D">
      <w:pPr>
        <w:spacing w:after="0" w:line="240" w:lineRule="auto"/>
        <w:jc w:val="center"/>
        <w:rPr>
          <w:rFonts w:ascii="Gill Sans" w:hAnsi="Gill Sans"/>
          <w:b/>
        </w:rPr>
      </w:pPr>
      <w:r>
        <w:rPr>
          <w:rFonts w:ascii="Gill Sans" w:hAnsi="Gill Sans"/>
          <w:b/>
        </w:rPr>
        <w:t>202</w:t>
      </w:r>
      <w:r w:rsidR="006345CB">
        <w:rPr>
          <w:rFonts w:ascii="Gill Sans" w:hAnsi="Gill Sans"/>
          <w:b/>
        </w:rPr>
        <w:t>2</w:t>
      </w:r>
    </w:p>
    <w:p w14:paraId="0054BFF4" w14:textId="77777777" w:rsidR="00B7534D" w:rsidRPr="00262DCF" w:rsidRDefault="00B7534D" w:rsidP="00B7534D">
      <w:pPr>
        <w:spacing w:after="0" w:line="240" w:lineRule="auto"/>
        <w:jc w:val="center"/>
        <w:rPr>
          <w:rFonts w:ascii="Gill Sans" w:hAnsi="Gill Sans"/>
          <w:b/>
        </w:rPr>
      </w:pPr>
    </w:p>
    <w:tbl>
      <w:tblPr>
        <w:tblW w:w="7280" w:type="dxa"/>
        <w:jc w:val="center"/>
        <w:tblLook w:val="04A0" w:firstRow="1" w:lastRow="0" w:firstColumn="1" w:lastColumn="0" w:noHBand="0" w:noVBand="1"/>
      </w:tblPr>
      <w:tblGrid>
        <w:gridCol w:w="1880"/>
        <w:gridCol w:w="1080"/>
        <w:gridCol w:w="1080"/>
        <w:gridCol w:w="1080"/>
        <w:gridCol w:w="1080"/>
        <w:gridCol w:w="1080"/>
      </w:tblGrid>
      <w:tr w:rsidR="00B7534D" w:rsidRPr="00262DCF" w14:paraId="59B3519A" w14:textId="77777777" w:rsidTr="00B7534D">
        <w:trPr>
          <w:trHeight w:val="645"/>
          <w:jc w:val="center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4A9F7" w14:textId="77777777" w:rsidR="00B7534D" w:rsidRPr="00262DCF" w:rsidRDefault="00B7534D" w:rsidP="00725531">
            <w:pPr>
              <w:spacing w:after="0" w:line="240" w:lineRule="auto"/>
              <w:rPr>
                <w:rFonts w:ascii="Gill Sans" w:eastAsia="Times New Roman" w:hAnsi="Gill Sans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62DCF">
              <w:rPr>
                <w:rFonts w:ascii="Gill Sans" w:eastAsia="Times New Roman" w:hAnsi="Gill Sans" w:cs="Times New Roman"/>
                <w:b/>
                <w:bCs/>
                <w:color w:val="000000"/>
                <w:sz w:val="24"/>
                <w:szCs w:val="24"/>
                <w:lang w:eastAsia="en-GB"/>
              </w:rPr>
              <w:t>FOI Internal Review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1094DA8" w14:textId="77777777" w:rsidR="00B7534D" w:rsidRDefault="00B7534D" w:rsidP="00725531">
            <w:pPr>
              <w:spacing w:after="0" w:line="240" w:lineRule="auto"/>
              <w:jc w:val="center"/>
              <w:rPr>
                <w:rFonts w:ascii="Gill Sans" w:eastAsia="Times New Roman" w:hAnsi="Gill Sans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3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F4E2F2" w14:textId="05796322" w:rsidR="00B7534D" w:rsidRPr="00262DCF" w:rsidRDefault="00B7534D" w:rsidP="00725531">
            <w:pPr>
              <w:spacing w:after="0" w:line="240" w:lineRule="auto"/>
              <w:jc w:val="center"/>
              <w:rPr>
                <w:rFonts w:ascii="Gill Sans" w:eastAsia="Times New Roman" w:hAnsi="Gill Sans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7534D">
              <w:rPr>
                <w:rFonts w:ascii="Gill Sans" w:eastAsia="Times New Roman" w:hAnsi="Gill Sans" w:cs="Times New Roman"/>
                <w:b/>
                <w:bCs/>
                <w:color w:val="000000"/>
                <w:sz w:val="24"/>
                <w:szCs w:val="18"/>
                <w:lang w:eastAsia="en-GB"/>
              </w:rPr>
              <w:t>202</w:t>
            </w:r>
            <w:r w:rsidR="006345CB">
              <w:rPr>
                <w:rFonts w:ascii="Gill Sans" w:eastAsia="Times New Roman" w:hAnsi="Gill Sans" w:cs="Times New Roman"/>
                <w:b/>
                <w:bCs/>
                <w:color w:val="000000"/>
                <w:sz w:val="24"/>
                <w:szCs w:val="18"/>
                <w:lang w:eastAsia="en-GB"/>
              </w:rPr>
              <w:t>2</w:t>
            </w:r>
          </w:p>
        </w:tc>
      </w:tr>
      <w:tr w:rsidR="00B7534D" w:rsidRPr="00262DCF" w14:paraId="757859DB" w14:textId="77777777" w:rsidTr="00B7534D">
        <w:trPr>
          <w:trHeight w:val="495"/>
          <w:jc w:val="center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F4E6C2B" w14:textId="77777777" w:rsidR="00B7534D" w:rsidRPr="00262DCF" w:rsidRDefault="00B7534D" w:rsidP="00725531">
            <w:pPr>
              <w:spacing w:after="0" w:line="240" w:lineRule="auto"/>
              <w:rPr>
                <w:rFonts w:ascii="Gill Sans" w:eastAsia="Times New Roman" w:hAnsi="Gill Sans" w:cs="Times New Roman"/>
                <w:color w:val="FFFFFF"/>
                <w:sz w:val="20"/>
                <w:szCs w:val="20"/>
                <w:lang w:eastAsia="en-GB"/>
              </w:rPr>
            </w:pPr>
            <w:r w:rsidRPr="00262DCF">
              <w:rPr>
                <w:rFonts w:ascii="Gill Sans" w:eastAsia="Times New Roman" w:hAnsi="Gill Sans" w:cs="Times New Roman"/>
                <w:color w:val="FFFFFF"/>
                <w:sz w:val="20"/>
                <w:szCs w:val="20"/>
                <w:lang w:eastAsia="en-GB"/>
              </w:rPr>
              <w:t>REASONS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E9884B1" w14:textId="77777777" w:rsidR="00B7534D" w:rsidRPr="00262DCF" w:rsidRDefault="00B7534D" w:rsidP="00725531">
            <w:pPr>
              <w:spacing w:after="0" w:line="240" w:lineRule="auto"/>
              <w:jc w:val="center"/>
              <w:rPr>
                <w:rFonts w:ascii="Gill Sans" w:eastAsia="Times New Roman" w:hAnsi="Gill Sans" w:cs="Times New Roman"/>
                <w:color w:val="FFFFFF"/>
                <w:sz w:val="18"/>
                <w:szCs w:val="18"/>
                <w:lang w:eastAsia="en-GB"/>
              </w:rPr>
            </w:pPr>
            <w:r w:rsidRPr="00262DCF">
              <w:rPr>
                <w:rFonts w:ascii="Gill Sans" w:eastAsia="Times New Roman" w:hAnsi="Gill Sans" w:cs="Times New Roman"/>
                <w:color w:val="FFFFFF"/>
                <w:sz w:val="18"/>
                <w:szCs w:val="18"/>
                <w:lang w:eastAsia="en-GB"/>
              </w:rPr>
              <w:t>Upheld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C273054" w14:textId="77777777" w:rsidR="00B7534D" w:rsidRPr="00262DCF" w:rsidRDefault="00B7534D" w:rsidP="00725531">
            <w:pPr>
              <w:spacing w:after="0" w:line="240" w:lineRule="auto"/>
              <w:jc w:val="center"/>
              <w:rPr>
                <w:rFonts w:ascii="Gill Sans" w:eastAsia="Times New Roman" w:hAnsi="Gill Sans" w:cs="Times New Roman"/>
                <w:color w:val="FFFFFF"/>
                <w:sz w:val="18"/>
                <w:szCs w:val="18"/>
                <w:lang w:eastAsia="en-GB"/>
              </w:rPr>
            </w:pPr>
            <w:r w:rsidRPr="00262DCF">
              <w:rPr>
                <w:rFonts w:ascii="Gill Sans" w:eastAsia="Times New Roman" w:hAnsi="Gill Sans" w:cs="Times New Roman"/>
                <w:color w:val="FFFFFF"/>
                <w:sz w:val="18"/>
                <w:szCs w:val="18"/>
                <w:lang w:eastAsia="en-GB"/>
              </w:rPr>
              <w:t>Partially Upheld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675B891" w14:textId="77777777" w:rsidR="00B7534D" w:rsidRPr="00262DCF" w:rsidRDefault="00B7534D" w:rsidP="00725531">
            <w:pPr>
              <w:spacing w:after="0" w:line="240" w:lineRule="auto"/>
              <w:jc w:val="center"/>
              <w:rPr>
                <w:rFonts w:ascii="Gill Sans" w:eastAsia="Times New Roman" w:hAnsi="Gill Sans" w:cs="Times New Roman"/>
                <w:color w:val="FFFFFF"/>
                <w:sz w:val="18"/>
                <w:szCs w:val="18"/>
                <w:lang w:eastAsia="en-GB"/>
              </w:rPr>
            </w:pPr>
            <w:r w:rsidRPr="00262DCF">
              <w:rPr>
                <w:rFonts w:ascii="Gill Sans" w:eastAsia="Times New Roman" w:hAnsi="Gill Sans" w:cs="Times New Roman"/>
                <w:color w:val="FFFFFF"/>
                <w:sz w:val="18"/>
                <w:szCs w:val="18"/>
                <w:lang w:eastAsia="en-GB"/>
              </w:rPr>
              <w:t>Not Upheld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7D367966" w14:textId="77777777" w:rsidR="00B7534D" w:rsidRPr="00E25768" w:rsidRDefault="00B7534D" w:rsidP="00725531">
            <w:pPr>
              <w:spacing w:after="0" w:line="240" w:lineRule="auto"/>
              <w:jc w:val="center"/>
              <w:rPr>
                <w:rFonts w:ascii="Gill Sans" w:eastAsia="Times New Roman" w:hAnsi="Gill Sans" w:cs="Times New Roman"/>
                <w:bCs/>
                <w:color w:val="FFFFFF"/>
                <w:sz w:val="18"/>
                <w:szCs w:val="18"/>
                <w:lang w:eastAsia="en-GB"/>
              </w:rPr>
            </w:pPr>
            <w:r w:rsidRPr="00E25768">
              <w:rPr>
                <w:rFonts w:ascii="Gill Sans" w:eastAsia="Times New Roman" w:hAnsi="Gill Sans" w:cs="Times New Roman"/>
                <w:bCs/>
                <w:color w:val="FFFFFF"/>
                <w:sz w:val="18"/>
                <w:szCs w:val="18"/>
                <w:lang w:eastAsia="en-GB"/>
              </w:rPr>
              <w:t>Ongoing IR</w:t>
            </w:r>
          </w:p>
        </w:tc>
        <w:tc>
          <w:tcPr>
            <w:tcW w:w="108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DDC3F62" w14:textId="77777777" w:rsidR="00B7534D" w:rsidRPr="00262DCF" w:rsidRDefault="00B7534D" w:rsidP="00725531">
            <w:pPr>
              <w:spacing w:after="0" w:line="240" w:lineRule="auto"/>
              <w:jc w:val="center"/>
              <w:rPr>
                <w:rFonts w:ascii="Gill Sans" w:eastAsia="Times New Roman" w:hAnsi="Gill Sans" w:cs="Times New Roman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262DCF">
              <w:rPr>
                <w:rFonts w:ascii="Gill Sans" w:eastAsia="Times New Roman" w:hAnsi="Gill Sans" w:cs="Times New Roman"/>
                <w:b/>
                <w:bCs/>
                <w:color w:val="FFFFFF"/>
                <w:sz w:val="18"/>
                <w:szCs w:val="18"/>
                <w:lang w:eastAsia="en-GB"/>
              </w:rPr>
              <w:t>TOTALS</w:t>
            </w:r>
          </w:p>
        </w:tc>
      </w:tr>
      <w:tr w:rsidR="00B7534D" w:rsidRPr="00262DCF" w14:paraId="5164F28F" w14:textId="77777777" w:rsidTr="00B7534D">
        <w:trPr>
          <w:trHeight w:val="567"/>
          <w:jc w:val="center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1C1CCC" w14:textId="77777777" w:rsidR="00B7534D" w:rsidRPr="00262DCF" w:rsidRDefault="00B7534D" w:rsidP="00725531">
            <w:pPr>
              <w:spacing w:after="0" w:line="240" w:lineRule="auto"/>
              <w:rPr>
                <w:rFonts w:ascii="Gill Sans" w:eastAsia="Times New Roman" w:hAnsi="Gill Sans" w:cs="Times New Roman"/>
                <w:color w:val="1D2828"/>
                <w:sz w:val="24"/>
                <w:szCs w:val="24"/>
                <w:lang w:eastAsia="en-GB"/>
              </w:rPr>
            </w:pPr>
            <w:r w:rsidRPr="00262DCF">
              <w:rPr>
                <w:rFonts w:ascii="Gill Sans" w:eastAsia="Times New Roman" w:hAnsi="Gill Sans" w:cs="Times New Roman"/>
                <w:color w:val="1D2828"/>
                <w:sz w:val="24"/>
                <w:szCs w:val="24"/>
                <w:lang w:eastAsia="en-GB"/>
              </w:rPr>
              <w:t>Non-Disclosure (Exemption)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8989DD" w14:textId="5EC5F2AF" w:rsidR="00B7534D" w:rsidRPr="006345CB" w:rsidRDefault="004C0999" w:rsidP="00725531">
            <w:pPr>
              <w:spacing w:after="0" w:line="240" w:lineRule="auto"/>
              <w:jc w:val="center"/>
              <w:rPr>
                <w:rFonts w:ascii="Gill Sans" w:eastAsia="Times New Roman" w:hAnsi="Gill Sans" w:cs="Times New Roman"/>
                <w:b/>
                <w:color w:val="FF0000"/>
                <w:sz w:val="24"/>
                <w:szCs w:val="24"/>
                <w:lang w:eastAsia="en-GB"/>
              </w:rPr>
            </w:pPr>
            <w:r w:rsidRPr="006345CB">
              <w:rPr>
                <w:rFonts w:ascii="Gill Sans" w:eastAsia="Times New Roman" w:hAnsi="Gill Sans" w:cs="Times New Roman"/>
                <w:b/>
                <w:color w:val="FF0000"/>
                <w:sz w:val="24"/>
                <w:szCs w:val="24"/>
                <w:lang w:eastAsia="en-GB"/>
              </w:rPr>
              <w:t>1</w:t>
            </w:r>
            <w:r w:rsidR="006345CB" w:rsidRPr="006345CB">
              <w:rPr>
                <w:rFonts w:ascii="Gill Sans" w:eastAsia="Times New Roman" w:hAnsi="Gill Sans" w:cs="Times New Roman"/>
                <w:b/>
                <w:color w:val="FF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7AAF43" w14:textId="609758C8" w:rsidR="00B7534D" w:rsidRPr="006345CB" w:rsidRDefault="006345CB" w:rsidP="00725531">
            <w:pPr>
              <w:spacing w:after="0" w:line="240" w:lineRule="auto"/>
              <w:jc w:val="center"/>
              <w:rPr>
                <w:rFonts w:ascii="Gill Sans" w:eastAsia="Times New Roman" w:hAnsi="Gill Sans" w:cs="Times New Roman"/>
                <w:b/>
                <w:color w:val="FF0000"/>
                <w:sz w:val="24"/>
                <w:szCs w:val="24"/>
                <w:lang w:eastAsia="en-GB"/>
              </w:rPr>
            </w:pPr>
            <w:r w:rsidRPr="006345CB">
              <w:rPr>
                <w:rFonts w:ascii="Gill Sans" w:eastAsia="Times New Roman" w:hAnsi="Gill Sans" w:cs="Times New Roman"/>
                <w:b/>
                <w:color w:val="FF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A27E39" w14:textId="1194A591" w:rsidR="00B7534D" w:rsidRPr="006345CB" w:rsidRDefault="006345CB" w:rsidP="00725531">
            <w:pPr>
              <w:spacing w:after="0" w:line="240" w:lineRule="auto"/>
              <w:jc w:val="center"/>
              <w:rPr>
                <w:rFonts w:ascii="Gill Sans" w:eastAsia="Times New Roman" w:hAnsi="Gill Sans" w:cs="Times New Roman"/>
                <w:b/>
                <w:color w:val="FF0000"/>
                <w:sz w:val="24"/>
                <w:szCs w:val="24"/>
                <w:lang w:eastAsia="en-GB"/>
              </w:rPr>
            </w:pPr>
            <w:r w:rsidRPr="006345CB">
              <w:rPr>
                <w:rFonts w:ascii="Gill Sans" w:eastAsia="Times New Roman" w:hAnsi="Gill Sans" w:cs="Times New Roman"/>
                <w:b/>
                <w:color w:val="FF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56D1253A" w14:textId="44B9989F" w:rsidR="00B7534D" w:rsidRPr="006345CB" w:rsidRDefault="004C0999" w:rsidP="00725531">
            <w:pPr>
              <w:spacing w:after="0" w:line="240" w:lineRule="auto"/>
              <w:jc w:val="center"/>
              <w:rPr>
                <w:rFonts w:ascii="Gill Sans" w:eastAsia="Times New Roman" w:hAnsi="Gill Sans" w:cs="Times New Roman"/>
                <w:bCs/>
                <w:sz w:val="24"/>
                <w:szCs w:val="24"/>
                <w:lang w:eastAsia="en-GB"/>
              </w:rPr>
            </w:pPr>
            <w:r w:rsidRPr="006345CB">
              <w:rPr>
                <w:rFonts w:ascii="Gill Sans" w:eastAsia="Times New Roman" w:hAnsi="Gill Sans" w:cs="Times New Roman"/>
                <w:bCs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308DF7B7" w14:textId="0AE4A47D" w:rsidR="00B7534D" w:rsidRPr="006345CB" w:rsidRDefault="006345CB" w:rsidP="00725531">
            <w:pPr>
              <w:spacing w:after="0" w:line="240" w:lineRule="auto"/>
              <w:jc w:val="center"/>
              <w:rPr>
                <w:rFonts w:ascii="Gill Sans" w:eastAsia="Times New Roman" w:hAnsi="Gill Sans" w:cs="Times New Roman"/>
                <w:b/>
                <w:color w:val="FF0000"/>
                <w:sz w:val="24"/>
                <w:szCs w:val="24"/>
                <w:lang w:eastAsia="en-GB"/>
              </w:rPr>
            </w:pPr>
            <w:r w:rsidRPr="006345CB">
              <w:rPr>
                <w:rFonts w:ascii="Gill Sans" w:eastAsia="Times New Roman" w:hAnsi="Gill Sans" w:cs="Times New Roman"/>
                <w:b/>
                <w:color w:val="FF0000"/>
                <w:sz w:val="24"/>
                <w:szCs w:val="24"/>
                <w:lang w:eastAsia="en-GB"/>
              </w:rPr>
              <w:t>20</w:t>
            </w:r>
          </w:p>
        </w:tc>
      </w:tr>
      <w:tr w:rsidR="00B7534D" w:rsidRPr="00262DCF" w14:paraId="3A918548" w14:textId="77777777" w:rsidTr="00B7534D">
        <w:trPr>
          <w:trHeight w:val="567"/>
          <w:jc w:val="center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BA31F1" w14:textId="77777777" w:rsidR="00B7534D" w:rsidRPr="00262DCF" w:rsidRDefault="00B7534D" w:rsidP="00725531">
            <w:pPr>
              <w:spacing w:after="0" w:line="240" w:lineRule="auto"/>
              <w:rPr>
                <w:rFonts w:ascii="Gill Sans" w:eastAsia="Times New Roman" w:hAnsi="Gill Sans" w:cs="Times New Roman"/>
                <w:color w:val="1D2828"/>
                <w:sz w:val="24"/>
                <w:szCs w:val="24"/>
                <w:lang w:eastAsia="en-GB"/>
              </w:rPr>
            </w:pPr>
            <w:r w:rsidRPr="00262DCF">
              <w:rPr>
                <w:rFonts w:ascii="Gill Sans" w:eastAsia="Times New Roman" w:hAnsi="Gill Sans" w:cs="Times New Roman"/>
                <w:color w:val="1D2828"/>
                <w:sz w:val="24"/>
                <w:szCs w:val="24"/>
                <w:lang w:eastAsia="en-GB"/>
              </w:rPr>
              <w:t>Insufficient Information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1AA3CD" w14:textId="59DF2999" w:rsidR="00B7534D" w:rsidRPr="006345CB" w:rsidRDefault="004C0999" w:rsidP="00725531">
            <w:pPr>
              <w:spacing w:after="0" w:line="240" w:lineRule="auto"/>
              <w:jc w:val="center"/>
              <w:rPr>
                <w:rFonts w:ascii="Gill Sans" w:eastAsia="Times New Roman" w:hAnsi="Gill Sans" w:cs="Times New Roman"/>
                <w:b/>
                <w:color w:val="FF0000"/>
                <w:sz w:val="24"/>
                <w:szCs w:val="24"/>
                <w:lang w:eastAsia="en-GB"/>
              </w:rPr>
            </w:pPr>
            <w:r w:rsidRPr="006345CB">
              <w:rPr>
                <w:rFonts w:ascii="Gill Sans" w:eastAsia="Times New Roman" w:hAnsi="Gill Sans" w:cs="Times New Roman"/>
                <w:b/>
                <w:color w:val="FF0000"/>
                <w:sz w:val="24"/>
                <w:szCs w:val="24"/>
                <w:lang w:eastAsia="en-GB"/>
              </w:rPr>
              <w:t>1</w:t>
            </w:r>
            <w:r w:rsidR="006345CB" w:rsidRPr="006345CB">
              <w:rPr>
                <w:rFonts w:ascii="Gill Sans" w:eastAsia="Times New Roman" w:hAnsi="Gill Sans" w:cs="Times New Roman"/>
                <w:b/>
                <w:color w:val="FF0000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0A9A42" w14:textId="2F0009EC" w:rsidR="00B7534D" w:rsidRPr="006345CB" w:rsidRDefault="006345CB" w:rsidP="00725531">
            <w:pPr>
              <w:spacing w:after="0" w:line="240" w:lineRule="auto"/>
              <w:jc w:val="center"/>
              <w:rPr>
                <w:rFonts w:ascii="Gill Sans" w:eastAsia="Times New Roman" w:hAnsi="Gill Sans" w:cs="Times New Roman"/>
                <w:b/>
                <w:color w:val="FF0000"/>
                <w:sz w:val="24"/>
                <w:szCs w:val="24"/>
                <w:lang w:eastAsia="en-GB"/>
              </w:rPr>
            </w:pPr>
            <w:r w:rsidRPr="006345CB">
              <w:rPr>
                <w:rFonts w:ascii="Gill Sans" w:eastAsia="Times New Roman" w:hAnsi="Gill Sans" w:cs="Times New Roman"/>
                <w:b/>
                <w:color w:val="FF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CCA4F4" w14:textId="0B2CCA13" w:rsidR="00B7534D" w:rsidRPr="006345CB" w:rsidRDefault="004C0999" w:rsidP="00725531">
            <w:pPr>
              <w:spacing w:after="0" w:line="240" w:lineRule="auto"/>
              <w:jc w:val="center"/>
              <w:rPr>
                <w:rFonts w:ascii="Gill Sans" w:eastAsia="Times New Roman" w:hAnsi="Gill Sans" w:cs="Times New Roman"/>
                <w:b/>
                <w:color w:val="FF0000"/>
                <w:sz w:val="24"/>
                <w:szCs w:val="24"/>
                <w:lang w:eastAsia="en-GB"/>
              </w:rPr>
            </w:pPr>
            <w:r w:rsidRPr="006345CB">
              <w:rPr>
                <w:rFonts w:ascii="Gill Sans" w:eastAsia="Times New Roman" w:hAnsi="Gill Sans" w:cs="Times New Roman"/>
                <w:b/>
                <w:color w:val="FF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65E0E959" w14:textId="48E1808C" w:rsidR="00B7534D" w:rsidRPr="006345CB" w:rsidRDefault="006345CB" w:rsidP="00725531">
            <w:pPr>
              <w:spacing w:after="0" w:line="240" w:lineRule="auto"/>
              <w:jc w:val="center"/>
              <w:rPr>
                <w:rFonts w:ascii="Gill Sans" w:eastAsia="Times New Roman" w:hAnsi="Gill Sans" w:cs="Times New Roman"/>
                <w:bCs/>
                <w:sz w:val="24"/>
                <w:szCs w:val="24"/>
                <w:lang w:eastAsia="en-GB"/>
              </w:rPr>
            </w:pPr>
            <w:r>
              <w:rPr>
                <w:rFonts w:ascii="Gill Sans" w:eastAsia="Times New Roman" w:hAnsi="Gill Sans" w:cs="Times New Roman"/>
                <w:bCs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0064EAD4" w14:textId="31C77992" w:rsidR="00B7534D" w:rsidRPr="006345CB" w:rsidRDefault="004C0999" w:rsidP="00725531">
            <w:pPr>
              <w:spacing w:after="0" w:line="240" w:lineRule="auto"/>
              <w:jc w:val="center"/>
              <w:rPr>
                <w:rFonts w:ascii="Gill Sans" w:eastAsia="Times New Roman" w:hAnsi="Gill Sans" w:cs="Times New Roman"/>
                <w:b/>
                <w:color w:val="FF0000"/>
                <w:sz w:val="24"/>
                <w:szCs w:val="24"/>
                <w:lang w:eastAsia="en-GB"/>
              </w:rPr>
            </w:pPr>
            <w:r w:rsidRPr="006345CB">
              <w:rPr>
                <w:rFonts w:ascii="Gill Sans" w:eastAsia="Times New Roman" w:hAnsi="Gill Sans" w:cs="Times New Roman"/>
                <w:b/>
                <w:color w:val="FF0000"/>
                <w:sz w:val="24"/>
                <w:szCs w:val="24"/>
                <w:lang w:eastAsia="en-GB"/>
              </w:rPr>
              <w:t>2</w:t>
            </w:r>
            <w:r w:rsidR="006345CB" w:rsidRPr="006345CB">
              <w:rPr>
                <w:rFonts w:ascii="Gill Sans" w:eastAsia="Times New Roman" w:hAnsi="Gill Sans" w:cs="Times New Roman"/>
                <w:b/>
                <w:color w:val="FF0000"/>
                <w:sz w:val="24"/>
                <w:szCs w:val="24"/>
                <w:lang w:eastAsia="en-GB"/>
              </w:rPr>
              <w:t>4</w:t>
            </w:r>
          </w:p>
        </w:tc>
      </w:tr>
      <w:tr w:rsidR="00B7534D" w:rsidRPr="00262DCF" w14:paraId="05D06614" w14:textId="77777777" w:rsidTr="00B7534D">
        <w:trPr>
          <w:trHeight w:val="567"/>
          <w:jc w:val="center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B2F2D2" w14:textId="77777777" w:rsidR="00B7534D" w:rsidRPr="00262DCF" w:rsidRDefault="00B7534D" w:rsidP="00725531">
            <w:pPr>
              <w:spacing w:after="0" w:line="240" w:lineRule="auto"/>
              <w:rPr>
                <w:rFonts w:ascii="Gill Sans" w:eastAsia="Times New Roman" w:hAnsi="Gill Sans" w:cs="Times New Roman"/>
                <w:color w:val="1D2828"/>
                <w:sz w:val="24"/>
                <w:szCs w:val="24"/>
                <w:lang w:eastAsia="en-GB"/>
              </w:rPr>
            </w:pPr>
            <w:r w:rsidRPr="00262DCF">
              <w:rPr>
                <w:rFonts w:ascii="Gill Sans" w:eastAsia="Times New Roman" w:hAnsi="Gill Sans" w:cs="Times New Roman"/>
                <w:color w:val="1D2828"/>
                <w:sz w:val="24"/>
                <w:szCs w:val="24"/>
                <w:lang w:eastAsia="en-GB"/>
              </w:rPr>
              <w:t>Multiple reasons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1A5E73" w14:textId="7268FF0B" w:rsidR="00B7534D" w:rsidRPr="006345CB" w:rsidRDefault="00B93E9B" w:rsidP="00725531">
            <w:pPr>
              <w:spacing w:after="0" w:line="240" w:lineRule="auto"/>
              <w:jc w:val="center"/>
              <w:rPr>
                <w:rFonts w:ascii="Gill Sans" w:eastAsia="Times New Roman" w:hAnsi="Gill Sans" w:cs="Times New Roman"/>
                <w:b/>
                <w:color w:val="FF0000"/>
                <w:sz w:val="24"/>
                <w:szCs w:val="24"/>
                <w:lang w:eastAsia="en-GB"/>
              </w:rPr>
            </w:pPr>
            <w:r w:rsidRPr="006345CB">
              <w:rPr>
                <w:rFonts w:ascii="Gill Sans" w:eastAsia="Times New Roman" w:hAnsi="Gill Sans" w:cs="Times New Roman"/>
                <w:b/>
                <w:color w:val="FF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A61481" w14:textId="3C0562D2" w:rsidR="00B7534D" w:rsidRPr="006345CB" w:rsidRDefault="006345CB" w:rsidP="00725531">
            <w:pPr>
              <w:spacing w:after="0" w:line="240" w:lineRule="auto"/>
              <w:jc w:val="center"/>
              <w:rPr>
                <w:rFonts w:ascii="Gill Sans" w:eastAsia="Times New Roman" w:hAnsi="Gill Sans" w:cs="Times New Roman"/>
                <w:b/>
                <w:color w:val="FF0000"/>
                <w:sz w:val="24"/>
                <w:szCs w:val="24"/>
                <w:lang w:eastAsia="en-GB"/>
              </w:rPr>
            </w:pPr>
            <w:r w:rsidRPr="006345CB">
              <w:rPr>
                <w:rFonts w:ascii="Gill Sans" w:eastAsia="Times New Roman" w:hAnsi="Gill Sans" w:cs="Times New Roman"/>
                <w:b/>
                <w:color w:val="FF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6D7194" w14:textId="77777777" w:rsidR="00B7534D" w:rsidRPr="006345CB" w:rsidRDefault="00B7534D" w:rsidP="00725531">
            <w:pPr>
              <w:spacing w:after="0" w:line="240" w:lineRule="auto"/>
              <w:jc w:val="center"/>
              <w:rPr>
                <w:rFonts w:ascii="Gill Sans" w:eastAsia="Times New Roman" w:hAnsi="Gill Sans" w:cs="Times New Roman"/>
                <w:bCs/>
                <w:sz w:val="24"/>
                <w:szCs w:val="24"/>
                <w:lang w:eastAsia="en-GB"/>
              </w:rPr>
            </w:pPr>
            <w:r w:rsidRPr="006345CB">
              <w:rPr>
                <w:rFonts w:ascii="Gill Sans" w:eastAsia="Times New Roman" w:hAnsi="Gill Sans" w:cs="Times New Roman"/>
                <w:bCs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4CAB1700" w14:textId="77777777" w:rsidR="00B7534D" w:rsidRPr="006345CB" w:rsidRDefault="00B7534D" w:rsidP="00725531">
            <w:pPr>
              <w:spacing w:after="0" w:line="240" w:lineRule="auto"/>
              <w:jc w:val="center"/>
              <w:rPr>
                <w:rFonts w:ascii="Gill Sans" w:eastAsia="Times New Roman" w:hAnsi="Gill Sans" w:cs="Times New Roman"/>
                <w:bCs/>
                <w:sz w:val="24"/>
                <w:szCs w:val="24"/>
                <w:lang w:eastAsia="en-GB"/>
              </w:rPr>
            </w:pPr>
            <w:r w:rsidRPr="006345CB">
              <w:rPr>
                <w:rFonts w:ascii="Gill Sans" w:eastAsia="Times New Roman" w:hAnsi="Gill Sans" w:cs="Times New Roman"/>
                <w:bCs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5A9E4BD7" w14:textId="454D66C6" w:rsidR="00B7534D" w:rsidRPr="006345CB" w:rsidRDefault="006345CB" w:rsidP="00725531">
            <w:pPr>
              <w:spacing w:after="0" w:line="240" w:lineRule="auto"/>
              <w:jc w:val="center"/>
              <w:rPr>
                <w:rFonts w:ascii="Gill Sans" w:eastAsia="Times New Roman" w:hAnsi="Gill Sans" w:cs="Times New Roman"/>
                <w:b/>
                <w:color w:val="FF0000"/>
                <w:sz w:val="24"/>
                <w:szCs w:val="24"/>
                <w:lang w:eastAsia="en-GB"/>
              </w:rPr>
            </w:pPr>
            <w:r w:rsidRPr="006345CB">
              <w:rPr>
                <w:rFonts w:ascii="Gill Sans" w:eastAsia="Times New Roman" w:hAnsi="Gill Sans" w:cs="Times New Roman"/>
                <w:b/>
                <w:color w:val="FF0000"/>
                <w:sz w:val="24"/>
                <w:szCs w:val="24"/>
                <w:lang w:eastAsia="en-GB"/>
              </w:rPr>
              <w:t>2</w:t>
            </w:r>
          </w:p>
        </w:tc>
      </w:tr>
      <w:tr w:rsidR="00B7534D" w:rsidRPr="00262DCF" w14:paraId="0745FBA7" w14:textId="77777777" w:rsidTr="00B7534D">
        <w:trPr>
          <w:trHeight w:val="567"/>
          <w:jc w:val="center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E8C11E" w14:textId="77777777" w:rsidR="00B7534D" w:rsidRPr="00262DCF" w:rsidRDefault="00B7534D" w:rsidP="00725531">
            <w:pPr>
              <w:spacing w:after="0" w:line="240" w:lineRule="auto"/>
              <w:rPr>
                <w:rFonts w:ascii="Gill Sans" w:eastAsia="Times New Roman" w:hAnsi="Gill Sans" w:cs="Times New Roman"/>
                <w:color w:val="1D2828"/>
                <w:sz w:val="24"/>
                <w:szCs w:val="24"/>
                <w:lang w:eastAsia="en-GB"/>
              </w:rPr>
            </w:pPr>
            <w:r w:rsidRPr="00262DCF">
              <w:rPr>
                <w:rFonts w:ascii="Gill Sans" w:eastAsia="Times New Roman" w:hAnsi="Gill Sans" w:cs="Times New Roman"/>
                <w:color w:val="1D2828"/>
                <w:sz w:val="24"/>
                <w:szCs w:val="24"/>
                <w:lang w:eastAsia="en-GB"/>
              </w:rPr>
              <w:t>Lateness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456A0C" w14:textId="70D56517" w:rsidR="00B7534D" w:rsidRPr="006345CB" w:rsidRDefault="006345CB" w:rsidP="00725531">
            <w:pPr>
              <w:spacing w:after="0" w:line="240" w:lineRule="auto"/>
              <w:jc w:val="center"/>
              <w:rPr>
                <w:rFonts w:ascii="Gill Sans" w:eastAsia="Times New Roman" w:hAnsi="Gill Sans" w:cs="Times New Roman"/>
                <w:b/>
                <w:sz w:val="24"/>
                <w:szCs w:val="24"/>
                <w:lang w:eastAsia="en-GB"/>
              </w:rPr>
            </w:pPr>
            <w:r w:rsidRPr="006345CB">
              <w:rPr>
                <w:rFonts w:ascii="Gill Sans" w:eastAsia="Times New Roman" w:hAnsi="Gill Sans" w:cs="Times New Roman"/>
                <w:b/>
                <w:color w:val="FF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023981" w14:textId="77777777" w:rsidR="00B7534D" w:rsidRPr="006345CB" w:rsidRDefault="00B7534D" w:rsidP="00725531">
            <w:pPr>
              <w:spacing w:after="0" w:line="240" w:lineRule="auto"/>
              <w:jc w:val="center"/>
              <w:rPr>
                <w:rFonts w:ascii="Gill Sans" w:eastAsia="Times New Roman" w:hAnsi="Gill Sans" w:cs="Times New Roman"/>
                <w:bCs/>
                <w:sz w:val="24"/>
                <w:szCs w:val="24"/>
                <w:lang w:eastAsia="en-GB"/>
              </w:rPr>
            </w:pPr>
            <w:r w:rsidRPr="006345CB">
              <w:rPr>
                <w:rFonts w:ascii="Gill Sans" w:eastAsia="Times New Roman" w:hAnsi="Gill Sans" w:cs="Times New Roman"/>
                <w:bCs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650053" w14:textId="77777777" w:rsidR="00B7534D" w:rsidRPr="006345CB" w:rsidRDefault="00B7534D" w:rsidP="00725531">
            <w:pPr>
              <w:spacing w:after="0" w:line="240" w:lineRule="auto"/>
              <w:jc w:val="center"/>
              <w:rPr>
                <w:rFonts w:ascii="Gill Sans" w:eastAsia="Times New Roman" w:hAnsi="Gill Sans" w:cs="Times New Roman"/>
                <w:bCs/>
                <w:sz w:val="24"/>
                <w:szCs w:val="24"/>
                <w:lang w:eastAsia="en-GB"/>
              </w:rPr>
            </w:pPr>
            <w:r w:rsidRPr="006345CB">
              <w:rPr>
                <w:rFonts w:ascii="Gill Sans" w:eastAsia="Times New Roman" w:hAnsi="Gill Sans" w:cs="Times New Roman"/>
                <w:bCs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1CA50A8" w14:textId="77777777" w:rsidR="00B7534D" w:rsidRPr="006345CB" w:rsidRDefault="00B7534D" w:rsidP="00725531">
            <w:pPr>
              <w:spacing w:after="0" w:line="240" w:lineRule="auto"/>
              <w:jc w:val="center"/>
              <w:rPr>
                <w:rFonts w:ascii="Gill Sans" w:eastAsia="Times New Roman" w:hAnsi="Gill Sans" w:cs="Times New Roman"/>
                <w:bCs/>
                <w:sz w:val="24"/>
                <w:szCs w:val="24"/>
                <w:lang w:eastAsia="en-GB"/>
              </w:rPr>
            </w:pPr>
            <w:r w:rsidRPr="006345CB">
              <w:rPr>
                <w:rFonts w:ascii="Gill Sans" w:eastAsia="Times New Roman" w:hAnsi="Gill Sans" w:cs="Times New Roman"/>
                <w:bCs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79853B6F" w14:textId="5D506BB3" w:rsidR="00B7534D" w:rsidRPr="006345CB" w:rsidRDefault="006345CB" w:rsidP="00725531">
            <w:pPr>
              <w:spacing w:after="0" w:line="240" w:lineRule="auto"/>
              <w:jc w:val="center"/>
              <w:rPr>
                <w:rFonts w:ascii="Gill Sans" w:eastAsia="Times New Roman" w:hAnsi="Gill Sans" w:cs="Times New Roman"/>
                <w:b/>
                <w:color w:val="FF0000"/>
                <w:sz w:val="24"/>
                <w:szCs w:val="24"/>
                <w:lang w:eastAsia="en-GB"/>
              </w:rPr>
            </w:pPr>
            <w:r w:rsidRPr="006345CB">
              <w:rPr>
                <w:rFonts w:ascii="Gill Sans" w:eastAsia="Times New Roman" w:hAnsi="Gill Sans" w:cs="Times New Roman"/>
                <w:b/>
                <w:color w:val="FF0000"/>
                <w:sz w:val="24"/>
                <w:szCs w:val="24"/>
                <w:lang w:eastAsia="en-GB"/>
              </w:rPr>
              <w:t>1</w:t>
            </w:r>
          </w:p>
        </w:tc>
      </w:tr>
      <w:tr w:rsidR="00B7534D" w:rsidRPr="00262DCF" w14:paraId="51CBC916" w14:textId="77777777" w:rsidTr="00B7534D">
        <w:trPr>
          <w:trHeight w:val="567"/>
          <w:jc w:val="center"/>
        </w:trPr>
        <w:tc>
          <w:tcPr>
            <w:tcW w:w="188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14:paraId="22D3DF8E" w14:textId="77777777" w:rsidR="00B7534D" w:rsidRPr="00262DCF" w:rsidRDefault="00B7534D" w:rsidP="00725531">
            <w:pPr>
              <w:spacing w:after="0" w:line="240" w:lineRule="auto"/>
              <w:rPr>
                <w:rFonts w:ascii="Gill Sans" w:eastAsia="Times New Roman" w:hAnsi="Gill Sans" w:cs="Times New Roman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262DCF">
              <w:rPr>
                <w:rFonts w:ascii="Gill Sans" w:eastAsia="Times New Roman" w:hAnsi="Gill Sans" w:cs="Times New Roman"/>
                <w:b/>
                <w:bCs/>
                <w:color w:val="FFFFFF"/>
                <w:sz w:val="18"/>
                <w:szCs w:val="18"/>
                <w:lang w:eastAsia="en-GB"/>
              </w:rPr>
              <w:t>TOTALS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353412AB" w14:textId="72B62A82" w:rsidR="00B7534D" w:rsidRPr="006345CB" w:rsidRDefault="006345CB" w:rsidP="00725531">
            <w:pPr>
              <w:spacing w:after="0" w:line="240" w:lineRule="auto"/>
              <w:jc w:val="center"/>
              <w:rPr>
                <w:rFonts w:ascii="Gill Sans" w:eastAsia="Times New Roman" w:hAnsi="Gill Sans" w:cs="Times New Roman"/>
                <w:b/>
                <w:color w:val="FF0000"/>
                <w:sz w:val="24"/>
                <w:szCs w:val="24"/>
                <w:lang w:eastAsia="en-GB"/>
              </w:rPr>
            </w:pPr>
            <w:r w:rsidRPr="006345CB">
              <w:rPr>
                <w:rFonts w:ascii="Gill Sans" w:eastAsia="Times New Roman" w:hAnsi="Gill Sans" w:cs="Times New Roman"/>
                <w:b/>
                <w:color w:val="FF0000"/>
                <w:sz w:val="24"/>
                <w:szCs w:val="24"/>
                <w:lang w:eastAsia="en-GB"/>
              </w:rPr>
              <w:t>35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29BCF9EC" w14:textId="2CE16EF3" w:rsidR="00B7534D" w:rsidRPr="006345CB" w:rsidRDefault="006345CB" w:rsidP="00725531">
            <w:pPr>
              <w:spacing w:after="0" w:line="240" w:lineRule="auto"/>
              <w:jc w:val="center"/>
              <w:rPr>
                <w:rFonts w:ascii="Gill Sans" w:eastAsia="Times New Roman" w:hAnsi="Gill Sans" w:cs="Times New Roman"/>
                <w:b/>
                <w:color w:val="FF0000"/>
                <w:sz w:val="24"/>
                <w:szCs w:val="24"/>
                <w:lang w:eastAsia="en-GB"/>
              </w:rPr>
            </w:pPr>
            <w:r w:rsidRPr="006345CB">
              <w:rPr>
                <w:rFonts w:ascii="Gill Sans" w:eastAsia="Times New Roman" w:hAnsi="Gill Sans" w:cs="Times New Roman"/>
                <w:b/>
                <w:color w:val="FF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51CC975E" w14:textId="07AF14CF" w:rsidR="00B7534D" w:rsidRPr="006345CB" w:rsidRDefault="006345CB" w:rsidP="00725531">
            <w:pPr>
              <w:spacing w:after="0" w:line="240" w:lineRule="auto"/>
              <w:jc w:val="center"/>
              <w:rPr>
                <w:rFonts w:ascii="Gill Sans" w:eastAsia="Times New Roman" w:hAnsi="Gill Sans" w:cs="Times New Roman"/>
                <w:b/>
                <w:color w:val="FF0000"/>
                <w:sz w:val="24"/>
                <w:szCs w:val="24"/>
                <w:lang w:eastAsia="en-GB"/>
              </w:rPr>
            </w:pPr>
            <w:r w:rsidRPr="006345CB">
              <w:rPr>
                <w:rFonts w:ascii="Gill Sans" w:eastAsia="Times New Roman" w:hAnsi="Gill Sans" w:cs="Times New Roman"/>
                <w:b/>
                <w:color w:val="FF0000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30D7D9AD" w14:textId="2E59A199" w:rsidR="00B7534D" w:rsidRPr="006345CB" w:rsidRDefault="006345CB" w:rsidP="00725531">
            <w:pPr>
              <w:spacing w:after="0" w:line="240" w:lineRule="auto"/>
              <w:jc w:val="center"/>
              <w:rPr>
                <w:rFonts w:ascii="Gill Sans" w:eastAsia="Times New Roman" w:hAnsi="Gill Sans" w:cs="Times New Roman"/>
                <w:bCs/>
                <w:sz w:val="24"/>
                <w:szCs w:val="24"/>
                <w:lang w:eastAsia="en-GB"/>
              </w:rPr>
            </w:pPr>
            <w:r>
              <w:rPr>
                <w:rFonts w:ascii="Gill Sans" w:eastAsia="Times New Roman" w:hAnsi="Gill Sans" w:cs="Times New Roman"/>
                <w:bCs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63C6843B" w14:textId="7372F0F8" w:rsidR="00B7534D" w:rsidRPr="006345CB" w:rsidRDefault="00B7534D" w:rsidP="00725531">
            <w:pPr>
              <w:spacing w:after="0" w:line="240" w:lineRule="auto"/>
              <w:jc w:val="center"/>
              <w:rPr>
                <w:rFonts w:ascii="Gill Sans" w:eastAsia="Times New Roman" w:hAnsi="Gill Sans" w:cs="Times New Roman"/>
                <w:b/>
                <w:sz w:val="24"/>
                <w:szCs w:val="24"/>
                <w:u w:val="thick"/>
                <w:lang w:eastAsia="en-GB"/>
              </w:rPr>
            </w:pPr>
            <w:r w:rsidRPr="006345CB">
              <w:rPr>
                <w:rFonts w:ascii="Gill Sans" w:eastAsia="Times New Roman" w:hAnsi="Gill Sans" w:cs="Times New Roman"/>
                <w:b/>
                <w:color w:val="FF0000"/>
                <w:sz w:val="24"/>
                <w:szCs w:val="24"/>
                <w:u w:val="thick"/>
                <w:lang w:eastAsia="en-GB"/>
              </w:rPr>
              <w:t>4</w:t>
            </w:r>
            <w:r w:rsidR="006345CB" w:rsidRPr="006345CB">
              <w:rPr>
                <w:rFonts w:ascii="Gill Sans" w:eastAsia="Times New Roman" w:hAnsi="Gill Sans" w:cs="Times New Roman"/>
                <w:b/>
                <w:color w:val="FF0000"/>
                <w:sz w:val="24"/>
                <w:szCs w:val="24"/>
                <w:u w:val="thick"/>
                <w:lang w:eastAsia="en-GB"/>
              </w:rPr>
              <w:t>7</w:t>
            </w:r>
          </w:p>
        </w:tc>
      </w:tr>
      <w:tr w:rsidR="00B7534D" w:rsidRPr="00262DCF" w14:paraId="13278961" w14:textId="77777777" w:rsidTr="006345CB">
        <w:trPr>
          <w:trHeight w:val="780"/>
          <w:jc w:val="center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E4249" w14:textId="77777777" w:rsidR="00B7534D" w:rsidRPr="00262DCF" w:rsidRDefault="00B7534D" w:rsidP="00725531">
            <w:pPr>
              <w:spacing w:after="0" w:line="240" w:lineRule="auto"/>
              <w:rPr>
                <w:rFonts w:ascii="Gill Sans" w:eastAsia="Times New Roman" w:hAnsi="Gill Sans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62DCF">
              <w:rPr>
                <w:rFonts w:ascii="Gill Sans" w:eastAsia="Times New Roman" w:hAnsi="Gill Sans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Total FOI Internal Reviews this </w:t>
            </w:r>
            <w:r w:rsidR="00A77442">
              <w:rPr>
                <w:rFonts w:ascii="Gill Sans" w:eastAsia="Times New Roman" w:hAnsi="Gill Sans" w:cs="Times New Roman"/>
                <w:b/>
                <w:bCs/>
                <w:color w:val="000000"/>
                <w:sz w:val="20"/>
                <w:szCs w:val="20"/>
                <w:lang w:eastAsia="en-GB"/>
              </w:rPr>
              <w:t>calendar</w:t>
            </w:r>
            <w:r>
              <w:rPr>
                <w:rFonts w:ascii="Gill Sans" w:eastAsia="Times New Roman" w:hAnsi="Gill Sans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year</w:t>
            </w:r>
            <w:r w:rsidRPr="00262DCF">
              <w:rPr>
                <w:rFonts w:ascii="Gill Sans" w:eastAsia="Times New Roman" w:hAnsi="Gill Sans" w:cs="Times New Roman"/>
                <w:b/>
                <w:bCs/>
                <w:color w:val="000000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C71B692" w14:textId="77777777" w:rsidR="00B7534D" w:rsidRPr="006345CB" w:rsidRDefault="00B7534D" w:rsidP="00725531">
            <w:pPr>
              <w:spacing w:after="0" w:line="240" w:lineRule="auto"/>
              <w:jc w:val="center"/>
              <w:rPr>
                <w:rFonts w:ascii="Gill Sans" w:eastAsia="Times New Roman" w:hAnsi="Gill Sans" w:cs="Times New Roman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43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175E6E4" w14:textId="35768930" w:rsidR="00B7534D" w:rsidRPr="006345CB" w:rsidRDefault="006345CB" w:rsidP="00725531">
            <w:pPr>
              <w:spacing w:after="0" w:line="240" w:lineRule="auto"/>
              <w:jc w:val="center"/>
              <w:rPr>
                <w:rFonts w:ascii="Gill Sans" w:eastAsia="Times New Roman" w:hAnsi="Gill Sans" w:cs="Times New Roman"/>
                <w:b/>
                <w:sz w:val="24"/>
                <w:szCs w:val="24"/>
                <w:u w:val="single"/>
                <w:lang w:eastAsia="en-GB"/>
              </w:rPr>
            </w:pPr>
            <w:r w:rsidRPr="006345CB">
              <w:rPr>
                <w:rFonts w:ascii="Gill Sans" w:eastAsia="Times New Roman" w:hAnsi="Gill Sans" w:cs="Times New Roman"/>
                <w:b/>
                <w:color w:val="FF0000"/>
                <w:sz w:val="24"/>
                <w:szCs w:val="24"/>
                <w:u w:val="thick"/>
                <w:lang w:eastAsia="en-GB"/>
              </w:rPr>
              <w:t>47</w:t>
            </w:r>
          </w:p>
        </w:tc>
      </w:tr>
    </w:tbl>
    <w:p w14:paraId="6ECE0BD4" w14:textId="77777777" w:rsidR="00145B87" w:rsidRDefault="00145B87" w:rsidP="00C43791">
      <w:pPr>
        <w:spacing w:after="0" w:line="240" w:lineRule="auto"/>
        <w:contextualSpacing/>
        <w:rPr>
          <w:rFonts w:ascii="Gill Sans" w:eastAsia="Calibri" w:hAnsi="Gill Sans" w:cs="Times New Roman"/>
          <w:sz w:val="28"/>
          <w:u w:val="single"/>
        </w:rPr>
      </w:pPr>
    </w:p>
    <w:p w14:paraId="71A8A9B1" w14:textId="77777777" w:rsidR="00C5423D" w:rsidRDefault="00C5423D" w:rsidP="00C43791">
      <w:pPr>
        <w:spacing w:after="0" w:line="240" w:lineRule="auto"/>
        <w:contextualSpacing/>
        <w:rPr>
          <w:rFonts w:ascii="Gill Sans" w:eastAsia="Calibri" w:hAnsi="Gill Sans" w:cs="Times New Roman"/>
          <w:sz w:val="28"/>
          <w:u w:val="single"/>
        </w:rPr>
      </w:pPr>
    </w:p>
    <w:p w14:paraId="6E82D7DF" w14:textId="77777777" w:rsidR="00D74A45" w:rsidRDefault="00D74A45" w:rsidP="00C43791">
      <w:pPr>
        <w:spacing w:after="0" w:line="240" w:lineRule="auto"/>
        <w:contextualSpacing/>
        <w:rPr>
          <w:rFonts w:ascii="Gill Sans" w:eastAsia="Calibri" w:hAnsi="Gill Sans" w:cs="Times New Roman"/>
          <w:sz w:val="28"/>
          <w:u w:val="single"/>
        </w:rPr>
      </w:pPr>
    </w:p>
    <w:p w14:paraId="2CA0677F" w14:textId="77777777" w:rsidR="00D74A45" w:rsidRDefault="00D74A45" w:rsidP="00C43791">
      <w:pPr>
        <w:spacing w:after="0" w:line="240" w:lineRule="auto"/>
        <w:contextualSpacing/>
        <w:rPr>
          <w:rFonts w:ascii="Gill Sans" w:eastAsia="Calibri" w:hAnsi="Gill Sans" w:cs="Times New Roman"/>
          <w:sz w:val="28"/>
          <w:u w:val="single"/>
        </w:rPr>
      </w:pPr>
    </w:p>
    <w:p w14:paraId="20AF32C1" w14:textId="77777777" w:rsidR="00C43791" w:rsidRPr="00CA7D76" w:rsidRDefault="00C43791" w:rsidP="00C43791">
      <w:pPr>
        <w:spacing w:after="0" w:line="240" w:lineRule="auto"/>
        <w:contextualSpacing/>
        <w:rPr>
          <w:rFonts w:ascii="Gill Sans" w:eastAsia="Calibri" w:hAnsi="Gill Sans" w:cs="Times New Roman"/>
          <w:b/>
          <w:sz w:val="24"/>
          <w:u w:val="single"/>
        </w:rPr>
      </w:pPr>
      <w:r w:rsidRPr="00CA7D76">
        <w:rPr>
          <w:rFonts w:ascii="Gill Sans" w:eastAsia="Calibri" w:hAnsi="Gill Sans" w:cs="Times New Roman"/>
          <w:b/>
          <w:sz w:val="24"/>
          <w:u w:val="single"/>
        </w:rPr>
        <w:t>EIR Internal Review report</w:t>
      </w:r>
    </w:p>
    <w:p w14:paraId="7C3AD1C1" w14:textId="77777777" w:rsidR="00871981" w:rsidRDefault="00871981" w:rsidP="00E40E93">
      <w:pPr>
        <w:spacing w:after="0" w:line="240" w:lineRule="auto"/>
        <w:rPr>
          <w:rFonts w:ascii="Gill Sans" w:eastAsia="Calibri" w:hAnsi="Gill Sans" w:cs="Times New Roman"/>
          <w:sz w:val="24"/>
        </w:rPr>
      </w:pPr>
    </w:p>
    <w:p w14:paraId="032F3BF4" w14:textId="1E469055" w:rsidR="00433840" w:rsidRPr="00CA7D76" w:rsidRDefault="001B2A38" w:rsidP="00433840">
      <w:pPr>
        <w:rPr>
          <w:rFonts w:ascii="Gill Sans" w:eastAsia="Calibri" w:hAnsi="Gill Sans" w:cs="Times New Roman"/>
        </w:rPr>
      </w:pPr>
      <w:r w:rsidRPr="00CA7D76">
        <w:rPr>
          <w:rFonts w:ascii="Gill Sans" w:eastAsia="Calibri" w:hAnsi="Gill Sans" w:cs="Times New Roman"/>
        </w:rPr>
        <w:t xml:space="preserve">In line with the ICO’s requirements, we have produced the report on EIR Internal Reviews for the </w:t>
      </w:r>
      <w:r w:rsidR="00EC5223" w:rsidRPr="00CA7D76">
        <w:rPr>
          <w:rFonts w:ascii="Gill Sans" w:eastAsia="Calibri" w:hAnsi="Gill Sans" w:cs="Times New Roman"/>
        </w:rPr>
        <w:t>20</w:t>
      </w:r>
      <w:r w:rsidR="00EC5223">
        <w:rPr>
          <w:rFonts w:ascii="Gill Sans" w:eastAsia="Calibri" w:hAnsi="Gill Sans" w:cs="Times New Roman"/>
        </w:rPr>
        <w:t>2</w:t>
      </w:r>
      <w:r w:rsidR="006345CB">
        <w:rPr>
          <w:rFonts w:ascii="Gill Sans" w:eastAsia="Calibri" w:hAnsi="Gill Sans" w:cs="Times New Roman"/>
        </w:rPr>
        <w:t>2</w:t>
      </w:r>
      <w:r w:rsidR="00EC5223">
        <w:rPr>
          <w:rFonts w:ascii="Gill Sans" w:eastAsia="Calibri" w:hAnsi="Gill Sans" w:cs="Times New Roman"/>
        </w:rPr>
        <w:t xml:space="preserve"> calendar</w:t>
      </w:r>
      <w:r w:rsidR="00EC5223" w:rsidRPr="00CA7D76">
        <w:rPr>
          <w:rFonts w:ascii="Gill Sans" w:eastAsia="Calibri" w:hAnsi="Gill Sans" w:cs="Times New Roman"/>
        </w:rPr>
        <w:t xml:space="preserve"> year</w:t>
      </w:r>
      <w:r w:rsidRPr="00CA7D76">
        <w:rPr>
          <w:rFonts w:ascii="Gill Sans" w:eastAsia="Calibri" w:hAnsi="Gill Sans" w:cs="Times New Roman"/>
        </w:rPr>
        <w:t>, recording the instances in which</w:t>
      </w:r>
      <w:r w:rsidR="00433840" w:rsidRPr="00CA7D76">
        <w:rPr>
          <w:rFonts w:ascii="Gill Sans" w:eastAsia="Calibri" w:hAnsi="Gill Sans" w:cs="Times New Roman"/>
        </w:rPr>
        <w:t xml:space="preserve"> </w:t>
      </w:r>
      <w:r w:rsidR="00433840">
        <w:rPr>
          <w:rFonts w:ascii="Gill Sans" w:eastAsia="Calibri" w:hAnsi="Gill Sans" w:cs="Times New Roman"/>
        </w:rPr>
        <w:t>any</w:t>
      </w:r>
      <w:r w:rsidR="00433840" w:rsidRPr="00CA7D76">
        <w:rPr>
          <w:rFonts w:ascii="Gill Sans" w:eastAsia="Calibri" w:hAnsi="Gill Sans" w:cs="Times New Roman"/>
        </w:rPr>
        <w:t xml:space="preserve"> Internal Reviews </w:t>
      </w:r>
      <w:r w:rsidR="00433840">
        <w:rPr>
          <w:rFonts w:ascii="Gill Sans" w:eastAsia="Calibri" w:hAnsi="Gill Sans" w:cs="Times New Roman"/>
        </w:rPr>
        <w:t xml:space="preserve">were </w:t>
      </w:r>
      <w:r w:rsidR="00433840" w:rsidRPr="00CA7D76">
        <w:rPr>
          <w:rFonts w:ascii="Gill Sans" w:eastAsia="Calibri" w:hAnsi="Gill Sans" w:cs="Times New Roman"/>
        </w:rPr>
        <w:t xml:space="preserve">either upheld, partially upheld or overturned </w:t>
      </w:r>
      <w:r w:rsidR="00433840">
        <w:rPr>
          <w:rFonts w:ascii="Gill Sans" w:eastAsia="Calibri" w:hAnsi="Gill Sans" w:cs="Times New Roman"/>
        </w:rPr>
        <w:t>for the</w:t>
      </w:r>
      <w:r w:rsidR="00433840" w:rsidRPr="00CA7D76">
        <w:rPr>
          <w:rFonts w:ascii="Gill Sans" w:eastAsia="Calibri" w:hAnsi="Gill Sans" w:cs="Times New Roman"/>
        </w:rPr>
        <w:t xml:space="preserve"> original FOI response. I.e. where an Internal review response is recorded as upheld, the Council is stating that its’ original response was correct.</w:t>
      </w:r>
    </w:p>
    <w:p w14:paraId="15756598" w14:textId="461BB045" w:rsidR="00C43791" w:rsidRDefault="00C43791" w:rsidP="00C43791">
      <w:pPr>
        <w:rPr>
          <w:rFonts w:ascii="Gill Sans" w:hAnsi="Gill Sans"/>
        </w:rPr>
      </w:pPr>
    </w:p>
    <w:p w14:paraId="53C72998" w14:textId="77777777" w:rsidR="0010328F" w:rsidRDefault="006969A0" w:rsidP="0010328F">
      <w:pPr>
        <w:spacing w:after="0" w:line="240" w:lineRule="auto"/>
        <w:jc w:val="center"/>
        <w:rPr>
          <w:rFonts w:ascii="Gill Sans" w:hAnsi="Gill Sans"/>
          <w:b/>
        </w:rPr>
      </w:pPr>
      <w:r>
        <w:rPr>
          <w:rFonts w:ascii="Gill Sans" w:hAnsi="Gill Sans"/>
          <w:b/>
        </w:rPr>
        <w:t xml:space="preserve">EIR </w:t>
      </w:r>
      <w:r w:rsidR="0010328F" w:rsidRPr="00262DCF">
        <w:rPr>
          <w:rFonts w:ascii="Gill Sans" w:hAnsi="Gill Sans"/>
          <w:b/>
        </w:rPr>
        <w:t>INTERNAL REVIEWS</w:t>
      </w:r>
    </w:p>
    <w:p w14:paraId="1A93A0F6" w14:textId="07C073F5" w:rsidR="0010328F" w:rsidRDefault="0010328F" w:rsidP="0010328F">
      <w:pPr>
        <w:spacing w:after="0" w:line="240" w:lineRule="auto"/>
        <w:jc w:val="center"/>
        <w:rPr>
          <w:rFonts w:ascii="Gill Sans" w:hAnsi="Gill Sans"/>
          <w:b/>
        </w:rPr>
      </w:pPr>
      <w:r>
        <w:rPr>
          <w:rFonts w:ascii="Gill Sans" w:hAnsi="Gill Sans"/>
          <w:b/>
        </w:rPr>
        <w:t>202</w:t>
      </w:r>
      <w:r w:rsidR="006345CB">
        <w:rPr>
          <w:rFonts w:ascii="Gill Sans" w:hAnsi="Gill Sans"/>
          <w:b/>
        </w:rPr>
        <w:t>2</w:t>
      </w:r>
    </w:p>
    <w:p w14:paraId="2C92B0B2" w14:textId="77777777" w:rsidR="0010328F" w:rsidRPr="00262DCF" w:rsidRDefault="0010328F" w:rsidP="0010328F">
      <w:pPr>
        <w:spacing w:after="0" w:line="240" w:lineRule="auto"/>
        <w:jc w:val="center"/>
        <w:rPr>
          <w:rFonts w:ascii="Gill Sans" w:hAnsi="Gill Sans"/>
          <w:b/>
        </w:rPr>
      </w:pPr>
    </w:p>
    <w:tbl>
      <w:tblPr>
        <w:tblW w:w="7280" w:type="dxa"/>
        <w:jc w:val="center"/>
        <w:tblLook w:val="04A0" w:firstRow="1" w:lastRow="0" w:firstColumn="1" w:lastColumn="0" w:noHBand="0" w:noVBand="1"/>
      </w:tblPr>
      <w:tblGrid>
        <w:gridCol w:w="1880"/>
        <w:gridCol w:w="1080"/>
        <w:gridCol w:w="1080"/>
        <w:gridCol w:w="1080"/>
        <w:gridCol w:w="1080"/>
        <w:gridCol w:w="1080"/>
      </w:tblGrid>
      <w:tr w:rsidR="0010328F" w:rsidRPr="00262DCF" w14:paraId="42FBE874" w14:textId="77777777" w:rsidTr="00725531">
        <w:trPr>
          <w:trHeight w:val="645"/>
          <w:jc w:val="center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16067" w14:textId="77777777" w:rsidR="0010328F" w:rsidRPr="00262DCF" w:rsidRDefault="006969A0" w:rsidP="00725531">
            <w:pPr>
              <w:spacing w:after="0" w:line="240" w:lineRule="auto"/>
              <w:rPr>
                <w:rFonts w:ascii="Gill Sans" w:eastAsia="Times New Roman" w:hAnsi="Gill Sans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ill Sans" w:eastAsia="Times New Roman" w:hAnsi="Gill Sans" w:cs="Times New Roman"/>
                <w:b/>
                <w:bCs/>
                <w:color w:val="000000"/>
                <w:sz w:val="24"/>
                <w:szCs w:val="24"/>
                <w:lang w:eastAsia="en-GB"/>
              </w:rPr>
              <w:t>EIR</w:t>
            </w:r>
            <w:r w:rsidR="0010328F" w:rsidRPr="00262DCF">
              <w:rPr>
                <w:rFonts w:ascii="Gill Sans" w:eastAsia="Times New Roman" w:hAnsi="Gill Sans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Internal Review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E2C0AAF" w14:textId="77777777" w:rsidR="0010328F" w:rsidRDefault="0010328F" w:rsidP="00725531">
            <w:pPr>
              <w:spacing w:after="0" w:line="240" w:lineRule="auto"/>
              <w:jc w:val="center"/>
              <w:rPr>
                <w:rFonts w:ascii="Gill Sans" w:eastAsia="Times New Roman" w:hAnsi="Gill Sans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3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A2CF6A" w14:textId="4BC9F698" w:rsidR="0010328F" w:rsidRPr="00262DCF" w:rsidRDefault="0010328F" w:rsidP="00725531">
            <w:pPr>
              <w:spacing w:after="0" w:line="240" w:lineRule="auto"/>
              <w:jc w:val="center"/>
              <w:rPr>
                <w:rFonts w:ascii="Gill Sans" w:eastAsia="Times New Roman" w:hAnsi="Gill Sans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7534D">
              <w:rPr>
                <w:rFonts w:ascii="Gill Sans" w:eastAsia="Times New Roman" w:hAnsi="Gill Sans" w:cs="Times New Roman"/>
                <w:b/>
                <w:bCs/>
                <w:color w:val="000000"/>
                <w:sz w:val="24"/>
                <w:szCs w:val="18"/>
                <w:lang w:eastAsia="en-GB"/>
              </w:rPr>
              <w:t>202</w:t>
            </w:r>
            <w:r w:rsidR="006345CB">
              <w:rPr>
                <w:rFonts w:ascii="Gill Sans" w:eastAsia="Times New Roman" w:hAnsi="Gill Sans" w:cs="Times New Roman"/>
                <w:b/>
                <w:bCs/>
                <w:color w:val="000000"/>
                <w:sz w:val="24"/>
                <w:szCs w:val="18"/>
                <w:lang w:eastAsia="en-GB"/>
              </w:rPr>
              <w:t>2</w:t>
            </w:r>
          </w:p>
        </w:tc>
      </w:tr>
      <w:tr w:rsidR="0010328F" w:rsidRPr="00262DCF" w14:paraId="0B5521C9" w14:textId="77777777" w:rsidTr="00725531">
        <w:trPr>
          <w:trHeight w:val="495"/>
          <w:jc w:val="center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51186E7" w14:textId="77777777" w:rsidR="0010328F" w:rsidRPr="00262DCF" w:rsidRDefault="0010328F" w:rsidP="00725531">
            <w:pPr>
              <w:spacing w:after="0" w:line="240" w:lineRule="auto"/>
              <w:rPr>
                <w:rFonts w:ascii="Gill Sans" w:eastAsia="Times New Roman" w:hAnsi="Gill Sans" w:cs="Times New Roman"/>
                <w:color w:val="FFFFFF"/>
                <w:sz w:val="20"/>
                <w:szCs w:val="20"/>
                <w:lang w:eastAsia="en-GB"/>
              </w:rPr>
            </w:pPr>
            <w:r w:rsidRPr="00262DCF">
              <w:rPr>
                <w:rFonts w:ascii="Gill Sans" w:eastAsia="Times New Roman" w:hAnsi="Gill Sans" w:cs="Times New Roman"/>
                <w:color w:val="FFFFFF"/>
                <w:sz w:val="20"/>
                <w:szCs w:val="20"/>
                <w:lang w:eastAsia="en-GB"/>
              </w:rPr>
              <w:t>REASONS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C7120D0" w14:textId="77777777" w:rsidR="0010328F" w:rsidRPr="00262DCF" w:rsidRDefault="0010328F" w:rsidP="00725531">
            <w:pPr>
              <w:spacing w:after="0" w:line="240" w:lineRule="auto"/>
              <w:jc w:val="center"/>
              <w:rPr>
                <w:rFonts w:ascii="Gill Sans" w:eastAsia="Times New Roman" w:hAnsi="Gill Sans" w:cs="Times New Roman"/>
                <w:color w:val="FFFFFF"/>
                <w:sz w:val="18"/>
                <w:szCs w:val="18"/>
                <w:lang w:eastAsia="en-GB"/>
              </w:rPr>
            </w:pPr>
            <w:r w:rsidRPr="00262DCF">
              <w:rPr>
                <w:rFonts w:ascii="Gill Sans" w:eastAsia="Times New Roman" w:hAnsi="Gill Sans" w:cs="Times New Roman"/>
                <w:color w:val="FFFFFF"/>
                <w:sz w:val="18"/>
                <w:szCs w:val="18"/>
                <w:lang w:eastAsia="en-GB"/>
              </w:rPr>
              <w:t>Upheld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B049DAF" w14:textId="77777777" w:rsidR="0010328F" w:rsidRPr="00262DCF" w:rsidRDefault="0010328F" w:rsidP="00725531">
            <w:pPr>
              <w:spacing w:after="0" w:line="240" w:lineRule="auto"/>
              <w:jc w:val="center"/>
              <w:rPr>
                <w:rFonts w:ascii="Gill Sans" w:eastAsia="Times New Roman" w:hAnsi="Gill Sans" w:cs="Times New Roman"/>
                <w:color w:val="FFFFFF"/>
                <w:sz w:val="18"/>
                <w:szCs w:val="18"/>
                <w:lang w:eastAsia="en-GB"/>
              </w:rPr>
            </w:pPr>
            <w:r w:rsidRPr="00262DCF">
              <w:rPr>
                <w:rFonts w:ascii="Gill Sans" w:eastAsia="Times New Roman" w:hAnsi="Gill Sans" w:cs="Times New Roman"/>
                <w:color w:val="FFFFFF"/>
                <w:sz w:val="18"/>
                <w:szCs w:val="18"/>
                <w:lang w:eastAsia="en-GB"/>
              </w:rPr>
              <w:t>Partially Upheld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B221F69" w14:textId="77777777" w:rsidR="0010328F" w:rsidRPr="00262DCF" w:rsidRDefault="0010328F" w:rsidP="00725531">
            <w:pPr>
              <w:spacing w:after="0" w:line="240" w:lineRule="auto"/>
              <w:jc w:val="center"/>
              <w:rPr>
                <w:rFonts w:ascii="Gill Sans" w:eastAsia="Times New Roman" w:hAnsi="Gill Sans" w:cs="Times New Roman"/>
                <w:color w:val="FFFFFF"/>
                <w:sz w:val="18"/>
                <w:szCs w:val="18"/>
                <w:lang w:eastAsia="en-GB"/>
              </w:rPr>
            </w:pPr>
            <w:r w:rsidRPr="00262DCF">
              <w:rPr>
                <w:rFonts w:ascii="Gill Sans" w:eastAsia="Times New Roman" w:hAnsi="Gill Sans" w:cs="Times New Roman"/>
                <w:color w:val="FFFFFF"/>
                <w:sz w:val="18"/>
                <w:szCs w:val="18"/>
                <w:lang w:eastAsia="en-GB"/>
              </w:rPr>
              <w:t>Not Upheld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271BDB02" w14:textId="77777777" w:rsidR="0010328F" w:rsidRPr="00E25768" w:rsidRDefault="0010328F" w:rsidP="00725531">
            <w:pPr>
              <w:spacing w:after="0" w:line="240" w:lineRule="auto"/>
              <w:jc w:val="center"/>
              <w:rPr>
                <w:rFonts w:ascii="Gill Sans" w:eastAsia="Times New Roman" w:hAnsi="Gill Sans" w:cs="Times New Roman"/>
                <w:bCs/>
                <w:color w:val="FFFFFF"/>
                <w:sz w:val="18"/>
                <w:szCs w:val="18"/>
                <w:lang w:eastAsia="en-GB"/>
              </w:rPr>
            </w:pPr>
            <w:r w:rsidRPr="00E25768">
              <w:rPr>
                <w:rFonts w:ascii="Gill Sans" w:eastAsia="Times New Roman" w:hAnsi="Gill Sans" w:cs="Times New Roman"/>
                <w:bCs/>
                <w:color w:val="FFFFFF"/>
                <w:sz w:val="18"/>
                <w:szCs w:val="18"/>
                <w:lang w:eastAsia="en-GB"/>
              </w:rPr>
              <w:t>Ongoing IR</w:t>
            </w:r>
          </w:p>
        </w:tc>
        <w:tc>
          <w:tcPr>
            <w:tcW w:w="108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2ADA9B9" w14:textId="77777777" w:rsidR="0010328F" w:rsidRPr="00262DCF" w:rsidRDefault="0010328F" w:rsidP="00725531">
            <w:pPr>
              <w:spacing w:after="0" w:line="240" w:lineRule="auto"/>
              <w:jc w:val="center"/>
              <w:rPr>
                <w:rFonts w:ascii="Gill Sans" w:eastAsia="Times New Roman" w:hAnsi="Gill Sans" w:cs="Times New Roman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262DCF">
              <w:rPr>
                <w:rFonts w:ascii="Gill Sans" w:eastAsia="Times New Roman" w:hAnsi="Gill Sans" w:cs="Times New Roman"/>
                <w:b/>
                <w:bCs/>
                <w:color w:val="FFFFFF"/>
                <w:sz w:val="18"/>
                <w:szCs w:val="18"/>
                <w:lang w:eastAsia="en-GB"/>
              </w:rPr>
              <w:t>TOTALS</w:t>
            </w:r>
          </w:p>
        </w:tc>
      </w:tr>
      <w:tr w:rsidR="0010328F" w:rsidRPr="00262DCF" w14:paraId="438F78B5" w14:textId="77777777" w:rsidTr="00114F95">
        <w:trPr>
          <w:trHeight w:val="567"/>
          <w:jc w:val="center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FDCDFF" w14:textId="77777777" w:rsidR="0010328F" w:rsidRPr="00262DCF" w:rsidRDefault="0010328F" w:rsidP="00725531">
            <w:pPr>
              <w:spacing w:after="0" w:line="240" w:lineRule="auto"/>
              <w:rPr>
                <w:rFonts w:ascii="Gill Sans" w:eastAsia="Times New Roman" w:hAnsi="Gill Sans" w:cs="Times New Roman"/>
                <w:color w:val="1D2828"/>
                <w:sz w:val="24"/>
                <w:szCs w:val="24"/>
                <w:lang w:eastAsia="en-GB"/>
              </w:rPr>
            </w:pPr>
            <w:r w:rsidRPr="00262DCF">
              <w:rPr>
                <w:rFonts w:ascii="Gill Sans" w:eastAsia="Times New Roman" w:hAnsi="Gill Sans" w:cs="Times New Roman"/>
                <w:color w:val="1D2828"/>
                <w:sz w:val="24"/>
                <w:szCs w:val="24"/>
                <w:lang w:eastAsia="en-GB"/>
              </w:rPr>
              <w:t>Non-Disclosure (Exemption)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48F65" w14:textId="7F558A41" w:rsidR="0010328F" w:rsidRPr="006345CB" w:rsidRDefault="006345CB" w:rsidP="00725531">
            <w:pPr>
              <w:spacing w:after="0" w:line="240" w:lineRule="auto"/>
              <w:jc w:val="center"/>
              <w:rPr>
                <w:rFonts w:ascii="Gill Sans" w:eastAsia="Times New Roman" w:hAnsi="Gill Sans" w:cs="Times New Roman"/>
                <w:b/>
                <w:color w:val="FF0000"/>
                <w:sz w:val="24"/>
                <w:szCs w:val="24"/>
                <w:lang w:eastAsia="en-GB"/>
              </w:rPr>
            </w:pPr>
            <w:r w:rsidRPr="006345CB">
              <w:rPr>
                <w:rFonts w:ascii="Gill Sans" w:eastAsia="Times New Roman" w:hAnsi="Gill Sans" w:cs="Times New Roman"/>
                <w:b/>
                <w:color w:val="FF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8DF4C7" w14:textId="213F245E" w:rsidR="0010328F" w:rsidRPr="006345CB" w:rsidRDefault="00433840" w:rsidP="00725531">
            <w:pPr>
              <w:spacing w:after="0" w:line="240" w:lineRule="auto"/>
              <w:jc w:val="center"/>
              <w:rPr>
                <w:rFonts w:ascii="Gill Sans" w:eastAsia="Times New Roman" w:hAnsi="Gill Sans" w:cs="Times New Roman"/>
                <w:bCs/>
                <w:sz w:val="24"/>
                <w:szCs w:val="24"/>
                <w:lang w:eastAsia="en-GB"/>
              </w:rPr>
            </w:pPr>
            <w:r w:rsidRPr="006345CB">
              <w:rPr>
                <w:rFonts w:ascii="Gill Sans" w:eastAsia="Times New Roman" w:hAnsi="Gill Sans" w:cs="Times New Roman"/>
                <w:bCs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F43D07" w14:textId="6699E880" w:rsidR="0010328F" w:rsidRPr="006345CB" w:rsidRDefault="006345CB" w:rsidP="00725531">
            <w:pPr>
              <w:spacing w:after="0" w:line="240" w:lineRule="auto"/>
              <w:jc w:val="center"/>
              <w:rPr>
                <w:rFonts w:ascii="Gill Sans" w:eastAsia="Times New Roman" w:hAnsi="Gill Sans" w:cs="Times New Roman"/>
                <w:b/>
                <w:sz w:val="24"/>
                <w:szCs w:val="24"/>
                <w:lang w:eastAsia="en-GB"/>
              </w:rPr>
            </w:pPr>
            <w:r w:rsidRPr="006345CB">
              <w:rPr>
                <w:rFonts w:ascii="Gill Sans" w:eastAsia="Times New Roman" w:hAnsi="Gill Sans" w:cs="Times New Roman"/>
                <w:b/>
                <w:color w:val="FF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6BD5FB00" w14:textId="77777777" w:rsidR="0010328F" w:rsidRPr="006345CB" w:rsidRDefault="0010328F" w:rsidP="00725531">
            <w:pPr>
              <w:spacing w:after="0" w:line="240" w:lineRule="auto"/>
              <w:jc w:val="center"/>
              <w:rPr>
                <w:rFonts w:ascii="Gill Sans" w:eastAsia="Times New Roman" w:hAnsi="Gill Sans" w:cs="Times New Roman"/>
                <w:bCs/>
                <w:sz w:val="24"/>
                <w:szCs w:val="24"/>
                <w:lang w:eastAsia="en-GB"/>
              </w:rPr>
            </w:pPr>
            <w:r w:rsidRPr="006345CB">
              <w:rPr>
                <w:rFonts w:ascii="Gill Sans" w:eastAsia="Times New Roman" w:hAnsi="Gill Sans" w:cs="Times New Roman"/>
                <w:bCs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  <w:hideMark/>
          </w:tcPr>
          <w:p w14:paraId="0B0B1774" w14:textId="0047F18C" w:rsidR="0010328F" w:rsidRPr="006345CB" w:rsidRDefault="006345CB" w:rsidP="00725531">
            <w:pPr>
              <w:spacing w:after="0" w:line="240" w:lineRule="auto"/>
              <w:jc w:val="center"/>
              <w:rPr>
                <w:rFonts w:ascii="Gill Sans" w:eastAsia="Times New Roman" w:hAnsi="Gill Sans" w:cs="Times New Roman"/>
                <w:b/>
                <w:sz w:val="24"/>
                <w:szCs w:val="24"/>
                <w:lang w:eastAsia="en-GB"/>
              </w:rPr>
            </w:pPr>
            <w:r w:rsidRPr="006345CB">
              <w:rPr>
                <w:rFonts w:ascii="Gill Sans" w:eastAsia="Times New Roman" w:hAnsi="Gill Sans" w:cs="Times New Roman"/>
                <w:b/>
                <w:color w:val="FF0000"/>
                <w:sz w:val="24"/>
                <w:szCs w:val="24"/>
                <w:lang w:eastAsia="en-GB"/>
              </w:rPr>
              <w:t>7</w:t>
            </w:r>
          </w:p>
        </w:tc>
      </w:tr>
      <w:tr w:rsidR="0010328F" w:rsidRPr="00262DCF" w14:paraId="76B5D74C" w14:textId="77777777" w:rsidTr="00114F95">
        <w:trPr>
          <w:trHeight w:val="567"/>
          <w:jc w:val="center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16A11A" w14:textId="77777777" w:rsidR="0010328F" w:rsidRPr="00262DCF" w:rsidRDefault="0010328F" w:rsidP="00725531">
            <w:pPr>
              <w:spacing w:after="0" w:line="240" w:lineRule="auto"/>
              <w:rPr>
                <w:rFonts w:ascii="Gill Sans" w:eastAsia="Times New Roman" w:hAnsi="Gill Sans" w:cs="Times New Roman"/>
                <w:color w:val="1D2828"/>
                <w:sz w:val="24"/>
                <w:szCs w:val="24"/>
                <w:lang w:eastAsia="en-GB"/>
              </w:rPr>
            </w:pPr>
            <w:r w:rsidRPr="00262DCF">
              <w:rPr>
                <w:rFonts w:ascii="Gill Sans" w:eastAsia="Times New Roman" w:hAnsi="Gill Sans" w:cs="Times New Roman"/>
                <w:color w:val="1D2828"/>
                <w:sz w:val="24"/>
                <w:szCs w:val="24"/>
                <w:lang w:eastAsia="en-GB"/>
              </w:rPr>
              <w:t>Insufficient Information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2F4B1E" w14:textId="4E8051F9" w:rsidR="0010328F" w:rsidRPr="006345CB" w:rsidRDefault="00433840" w:rsidP="00725531">
            <w:pPr>
              <w:spacing w:after="0" w:line="240" w:lineRule="auto"/>
              <w:jc w:val="center"/>
              <w:rPr>
                <w:rFonts w:ascii="Gill Sans" w:eastAsia="Times New Roman" w:hAnsi="Gill Sans" w:cs="Times New Roman"/>
                <w:b/>
                <w:color w:val="FF0000"/>
                <w:sz w:val="24"/>
                <w:szCs w:val="24"/>
                <w:lang w:eastAsia="en-GB"/>
              </w:rPr>
            </w:pPr>
            <w:r w:rsidRPr="006345CB">
              <w:rPr>
                <w:rFonts w:ascii="Gill Sans" w:eastAsia="Times New Roman" w:hAnsi="Gill Sans" w:cs="Times New Roman"/>
                <w:b/>
                <w:color w:val="FF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61B4A9" w14:textId="2573231A" w:rsidR="00EC5223" w:rsidRPr="006345CB" w:rsidRDefault="006345CB" w:rsidP="00EC5223">
            <w:pPr>
              <w:spacing w:after="0" w:line="240" w:lineRule="auto"/>
              <w:jc w:val="center"/>
              <w:rPr>
                <w:rFonts w:ascii="Gill Sans" w:eastAsia="Times New Roman" w:hAnsi="Gill Sans" w:cs="Times New Roman"/>
                <w:bCs/>
                <w:sz w:val="24"/>
                <w:szCs w:val="24"/>
                <w:lang w:eastAsia="en-GB"/>
              </w:rPr>
            </w:pPr>
            <w:r>
              <w:rPr>
                <w:rFonts w:ascii="Gill Sans" w:eastAsia="Times New Roman" w:hAnsi="Gill Sans" w:cs="Times New Roman"/>
                <w:bCs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5C8D69" w14:textId="77777777" w:rsidR="0010328F" w:rsidRPr="006345CB" w:rsidRDefault="006969A0" w:rsidP="00725531">
            <w:pPr>
              <w:spacing w:after="0" w:line="240" w:lineRule="auto"/>
              <w:jc w:val="center"/>
              <w:rPr>
                <w:rFonts w:ascii="Gill Sans" w:eastAsia="Times New Roman" w:hAnsi="Gill Sans" w:cs="Times New Roman"/>
                <w:bCs/>
                <w:sz w:val="24"/>
                <w:szCs w:val="24"/>
                <w:lang w:eastAsia="en-GB"/>
              </w:rPr>
            </w:pPr>
            <w:r w:rsidRPr="006345CB">
              <w:rPr>
                <w:rFonts w:ascii="Gill Sans" w:eastAsia="Times New Roman" w:hAnsi="Gill Sans" w:cs="Times New Roman"/>
                <w:bCs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62A9E310" w14:textId="77777777" w:rsidR="0010328F" w:rsidRPr="006345CB" w:rsidRDefault="00EC5223" w:rsidP="00725531">
            <w:pPr>
              <w:spacing w:after="0" w:line="240" w:lineRule="auto"/>
              <w:jc w:val="center"/>
              <w:rPr>
                <w:rFonts w:ascii="Gill Sans" w:eastAsia="Times New Roman" w:hAnsi="Gill Sans" w:cs="Times New Roman"/>
                <w:bCs/>
                <w:sz w:val="24"/>
                <w:szCs w:val="24"/>
                <w:lang w:eastAsia="en-GB"/>
              </w:rPr>
            </w:pPr>
            <w:r w:rsidRPr="006345CB">
              <w:rPr>
                <w:rFonts w:ascii="Gill Sans" w:eastAsia="Times New Roman" w:hAnsi="Gill Sans" w:cs="Times New Roman"/>
                <w:bCs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  <w:hideMark/>
          </w:tcPr>
          <w:p w14:paraId="2A78C8A3" w14:textId="18571DA7" w:rsidR="0010328F" w:rsidRPr="006345CB" w:rsidRDefault="006345CB" w:rsidP="00725531">
            <w:pPr>
              <w:spacing w:after="0" w:line="240" w:lineRule="auto"/>
              <w:jc w:val="center"/>
              <w:rPr>
                <w:rFonts w:ascii="Gill Sans" w:eastAsia="Times New Roman" w:hAnsi="Gill Sans" w:cs="Times New Roman"/>
                <w:b/>
                <w:sz w:val="24"/>
                <w:szCs w:val="24"/>
                <w:lang w:eastAsia="en-GB"/>
              </w:rPr>
            </w:pPr>
            <w:r w:rsidRPr="006345CB">
              <w:rPr>
                <w:rFonts w:ascii="Gill Sans" w:eastAsia="Times New Roman" w:hAnsi="Gill Sans" w:cs="Times New Roman"/>
                <w:b/>
                <w:color w:val="FF0000"/>
                <w:sz w:val="24"/>
                <w:szCs w:val="24"/>
                <w:lang w:eastAsia="en-GB"/>
              </w:rPr>
              <w:t>3</w:t>
            </w:r>
          </w:p>
        </w:tc>
      </w:tr>
      <w:tr w:rsidR="0010328F" w:rsidRPr="00262DCF" w14:paraId="569F3DD6" w14:textId="77777777" w:rsidTr="00114F95">
        <w:trPr>
          <w:trHeight w:val="567"/>
          <w:jc w:val="center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1186C1" w14:textId="77777777" w:rsidR="0010328F" w:rsidRPr="00262DCF" w:rsidRDefault="0010328F" w:rsidP="00725531">
            <w:pPr>
              <w:spacing w:after="0" w:line="240" w:lineRule="auto"/>
              <w:rPr>
                <w:rFonts w:ascii="Gill Sans" w:eastAsia="Times New Roman" w:hAnsi="Gill Sans" w:cs="Times New Roman"/>
                <w:color w:val="1D2828"/>
                <w:sz w:val="24"/>
                <w:szCs w:val="24"/>
                <w:lang w:eastAsia="en-GB"/>
              </w:rPr>
            </w:pPr>
            <w:r w:rsidRPr="00262DCF">
              <w:rPr>
                <w:rFonts w:ascii="Gill Sans" w:eastAsia="Times New Roman" w:hAnsi="Gill Sans" w:cs="Times New Roman"/>
                <w:color w:val="1D2828"/>
                <w:sz w:val="24"/>
                <w:szCs w:val="24"/>
                <w:lang w:eastAsia="en-GB"/>
              </w:rPr>
              <w:t>Multiple reasons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6B7599" w14:textId="77777777" w:rsidR="0010328F" w:rsidRPr="006345CB" w:rsidRDefault="0010328F" w:rsidP="00725531">
            <w:pPr>
              <w:spacing w:after="0" w:line="240" w:lineRule="auto"/>
              <w:jc w:val="center"/>
              <w:rPr>
                <w:rFonts w:ascii="Gill Sans" w:eastAsia="Times New Roman" w:hAnsi="Gill Sans" w:cs="Times New Roman"/>
                <w:bCs/>
                <w:sz w:val="24"/>
                <w:szCs w:val="24"/>
                <w:lang w:eastAsia="en-GB"/>
              </w:rPr>
            </w:pPr>
            <w:r w:rsidRPr="006345CB">
              <w:rPr>
                <w:rFonts w:ascii="Gill Sans" w:eastAsia="Times New Roman" w:hAnsi="Gill Sans" w:cs="Times New Roman"/>
                <w:bCs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8B6677" w14:textId="77777777" w:rsidR="0010328F" w:rsidRPr="006345CB" w:rsidRDefault="0010328F" w:rsidP="00725531">
            <w:pPr>
              <w:spacing w:after="0" w:line="240" w:lineRule="auto"/>
              <w:jc w:val="center"/>
              <w:rPr>
                <w:rFonts w:ascii="Gill Sans" w:eastAsia="Times New Roman" w:hAnsi="Gill Sans" w:cs="Times New Roman"/>
                <w:bCs/>
                <w:sz w:val="24"/>
                <w:szCs w:val="24"/>
                <w:lang w:eastAsia="en-GB"/>
              </w:rPr>
            </w:pPr>
            <w:r w:rsidRPr="006345CB">
              <w:rPr>
                <w:rFonts w:ascii="Gill Sans" w:eastAsia="Times New Roman" w:hAnsi="Gill Sans" w:cs="Times New Roman"/>
                <w:bCs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E6D50C" w14:textId="77777777" w:rsidR="0010328F" w:rsidRPr="006345CB" w:rsidRDefault="0010328F" w:rsidP="00725531">
            <w:pPr>
              <w:spacing w:after="0" w:line="240" w:lineRule="auto"/>
              <w:jc w:val="center"/>
              <w:rPr>
                <w:rFonts w:ascii="Gill Sans" w:eastAsia="Times New Roman" w:hAnsi="Gill Sans" w:cs="Times New Roman"/>
                <w:bCs/>
                <w:sz w:val="24"/>
                <w:szCs w:val="24"/>
                <w:lang w:eastAsia="en-GB"/>
              </w:rPr>
            </w:pPr>
            <w:r w:rsidRPr="006345CB">
              <w:rPr>
                <w:rFonts w:ascii="Gill Sans" w:eastAsia="Times New Roman" w:hAnsi="Gill Sans" w:cs="Times New Roman"/>
                <w:bCs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458803D4" w14:textId="77777777" w:rsidR="0010328F" w:rsidRPr="006345CB" w:rsidRDefault="0010328F" w:rsidP="00725531">
            <w:pPr>
              <w:spacing w:after="0" w:line="240" w:lineRule="auto"/>
              <w:jc w:val="center"/>
              <w:rPr>
                <w:rFonts w:ascii="Gill Sans" w:eastAsia="Times New Roman" w:hAnsi="Gill Sans" w:cs="Times New Roman"/>
                <w:bCs/>
                <w:sz w:val="24"/>
                <w:szCs w:val="24"/>
                <w:lang w:eastAsia="en-GB"/>
              </w:rPr>
            </w:pPr>
            <w:r w:rsidRPr="006345CB">
              <w:rPr>
                <w:rFonts w:ascii="Gill Sans" w:eastAsia="Times New Roman" w:hAnsi="Gill Sans" w:cs="Times New Roman"/>
                <w:bCs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  <w:hideMark/>
          </w:tcPr>
          <w:p w14:paraId="0E07A706" w14:textId="77777777" w:rsidR="0010328F" w:rsidRPr="006345CB" w:rsidRDefault="0010328F" w:rsidP="00725531">
            <w:pPr>
              <w:spacing w:after="0" w:line="240" w:lineRule="auto"/>
              <w:jc w:val="center"/>
              <w:rPr>
                <w:rFonts w:ascii="Gill Sans" w:eastAsia="Times New Roman" w:hAnsi="Gill Sans" w:cs="Times New Roman"/>
                <w:bCs/>
                <w:sz w:val="24"/>
                <w:szCs w:val="24"/>
                <w:lang w:eastAsia="en-GB"/>
              </w:rPr>
            </w:pPr>
            <w:r w:rsidRPr="006345CB">
              <w:rPr>
                <w:rFonts w:ascii="Gill Sans" w:eastAsia="Times New Roman" w:hAnsi="Gill Sans" w:cs="Times New Roman"/>
                <w:bCs/>
                <w:sz w:val="24"/>
                <w:szCs w:val="24"/>
                <w:lang w:eastAsia="en-GB"/>
              </w:rPr>
              <w:t>0</w:t>
            </w:r>
          </w:p>
        </w:tc>
      </w:tr>
      <w:tr w:rsidR="0010328F" w:rsidRPr="00262DCF" w14:paraId="289E2F30" w14:textId="77777777" w:rsidTr="00114F95">
        <w:trPr>
          <w:trHeight w:val="567"/>
          <w:jc w:val="center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141E79" w14:textId="77777777" w:rsidR="0010328F" w:rsidRPr="00262DCF" w:rsidRDefault="0010328F" w:rsidP="00725531">
            <w:pPr>
              <w:spacing w:after="0" w:line="240" w:lineRule="auto"/>
              <w:rPr>
                <w:rFonts w:ascii="Gill Sans" w:eastAsia="Times New Roman" w:hAnsi="Gill Sans" w:cs="Times New Roman"/>
                <w:color w:val="1D2828"/>
                <w:sz w:val="24"/>
                <w:szCs w:val="24"/>
                <w:lang w:eastAsia="en-GB"/>
              </w:rPr>
            </w:pPr>
            <w:r w:rsidRPr="00262DCF">
              <w:rPr>
                <w:rFonts w:ascii="Gill Sans" w:eastAsia="Times New Roman" w:hAnsi="Gill Sans" w:cs="Times New Roman"/>
                <w:color w:val="1D2828"/>
                <w:sz w:val="24"/>
                <w:szCs w:val="24"/>
                <w:lang w:eastAsia="en-GB"/>
              </w:rPr>
              <w:t>Lateness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E1D8BB" w14:textId="77777777" w:rsidR="0010328F" w:rsidRPr="006345CB" w:rsidRDefault="0010328F" w:rsidP="00725531">
            <w:pPr>
              <w:spacing w:after="0" w:line="240" w:lineRule="auto"/>
              <w:jc w:val="center"/>
              <w:rPr>
                <w:rFonts w:ascii="Gill Sans" w:eastAsia="Times New Roman" w:hAnsi="Gill Sans" w:cs="Times New Roman"/>
                <w:bCs/>
                <w:sz w:val="24"/>
                <w:szCs w:val="24"/>
                <w:lang w:eastAsia="en-GB"/>
              </w:rPr>
            </w:pPr>
            <w:r w:rsidRPr="006345CB">
              <w:rPr>
                <w:rFonts w:ascii="Gill Sans" w:eastAsia="Times New Roman" w:hAnsi="Gill Sans" w:cs="Times New Roman"/>
                <w:bCs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44506E" w14:textId="77777777" w:rsidR="0010328F" w:rsidRPr="006345CB" w:rsidRDefault="0010328F" w:rsidP="00725531">
            <w:pPr>
              <w:spacing w:after="0" w:line="240" w:lineRule="auto"/>
              <w:jc w:val="center"/>
              <w:rPr>
                <w:rFonts w:ascii="Gill Sans" w:eastAsia="Times New Roman" w:hAnsi="Gill Sans" w:cs="Times New Roman"/>
                <w:bCs/>
                <w:sz w:val="24"/>
                <w:szCs w:val="24"/>
                <w:lang w:eastAsia="en-GB"/>
              </w:rPr>
            </w:pPr>
            <w:r w:rsidRPr="006345CB">
              <w:rPr>
                <w:rFonts w:ascii="Gill Sans" w:eastAsia="Times New Roman" w:hAnsi="Gill Sans" w:cs="Times New Roman"/>
                <w:bCs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CE6547" w14:textId="77777777" w:rsidR="0010328F" w:rsidRPr="006345CB" w:rsidRDefault="0010328F" w:rsidP="00725531">
            <w:pPr>
              <w:spacing w:after="0" w:line="240" w:lineRule="auto"/>
              <w:jc w:val="center"/>
              <w:rPr>
                <w:rFonts w:ascii="Gill Sans" w:eastAsia="Times New Roman" w:hAnsi="Gill Sans" w:cs="Times New Roman"/>
                <w:bCs/>
                <w:sz w:val="24"/>
                <w:szCs w:val="24"/>
                <w:lang w:eastAsia="en-GB"/>
              </w:rPr>
            </w:pPr>
            <w:r w:rsidRPr="006345CB">
              <w:rPr>
                <w:rFonts w:ascii="Gill Sans" w:eastAsia="Times New Roman" w:hAnsi="Gill Sans" w:cs="Times New Roman"/>
                <w:bCs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B101C0D" w14:textId="77777777" w:rsidR="0010328F" w:rsidRPr="006345CB" w:rsidRDefault="0010328F" w:rsidP="00725531">
            <w:pPr>
              <w:spacing w:after="0" w:line="240" w:lineRule="auto"/>
              <w:jc w:val="center"/>
              <w:rPr>
                <w:rFonts w:ascii="Gill Sans" w:eastAsia="Times New Roman" w:hAnsi="Gill Sans" w:cs="Times New Roman"/>
                <w:bCs/>
                <w:sz w:val="24"/>
                <w:szCs w:val="24"/>
                <w:lang w:eastAsia="en-GB"/>
              </w:rPr>
            </w:pPr>
            <w:r w:rsidRPr="006345CB">
              <w:rPr>
                <w:rFonts w:ascii="Gill Sans" w:eastAsia="Times New Roman" w:hAnsi="Gill Sans" w:cs="Times New Roman"/>
                <w:bCs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92D050"/>
            <w:noWrap/>
            <w:vAlign w:val="center"/>
            <w:hideMark/>
          </w:tcPr>
          <w:p w14:paraId="5410EE98" w14:textId="77777777" w:rsidR="0010328F" w:rsidRPr="006345CB" w:rsidRDefault="0010328F" w:rsidP="00725531">
            <w:pPr>
              <w:spacing w:after="0" w:line="240" w:lineRule="auto"/>
              <w:jc w:val="center"/>
              <w:rPr>
                <w:rFonts w:ascii="Gill Sans" w:eastAsia="Times New Roman" w:hAnsi="Gill Sans" w:cs="Times New Roman"/>
                <w:bCs/>
                <w:sz w:val="24"/>
                <w:szCs w:val="24"/>
                <w:lang w:eastAsia="en-GB"/>
              </w:rPr>
            </w:pPr>
            <w:r w:rsidRPr="006345CB">
              <w:rPr>
                <w:rFonts w:ascii="Gill Sans" w:eastAsia="Times New Roman" w:hAnsi="Gill Sans" w:cs="Times New Roman"/>
                <w:bCs/>
                <w:sz w:val="24"/>
                <w:szCs w:val="24"/>
                <w:lang w:eastAsia="en-GB"/>
              </w:rPr>
              <w:t>0</w:t>
            </w:r>
          </w:p>
        </w:tc>
      </w:tr>
      <w:tr w:rsidR="0010328F" w:rsidRPr="00262DCF" w14:paraId="3E839DC4" w14:textId="77777777" w:rsidTr="00114F95">
        <w:trPr>
          <w:trHeight w:val="567"/>
          <w:jc w:val="center"/>
        </w:trPr>
        <w:tc>
          <w:tcPr>
            <w:tcW w:w="188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5785027A" w14:textId="77777777" w:rsidR="0010328F" w:rsidRPr="00262DCF" w:rsidRDefault="0010328F" w:rsidP="00725531">
            <w:pPr>
              <w:spacing w:after="0" w:line="240" w:lineRule="auto"/>
              <w:rPr>
                <w:rFonts w:ascii="Gill Sans" w:eastAsia="Times New Roman" w:hAnsi="Gill Sans" w:cs="Times New Roman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262DCF">
              <w:rPr>
                <w:rFonts w:ascii="Gill Sans" w:eastAsia="Times New Roman" w:hAnsi="Gill Sans" w:cs="Times New Roman"/>
                <w:b/>
                <w:bCs/>
                <w:color w:val="FFFFFF"/>
                <w:sz w:val="18"/>
                <w:szCs w:val="18"/>
                <w:lang w:eastAsia="en-GB"/>
              </w:rPr>
              <w:t>TOTALS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  <w:hideMark/>
          </w:tcPr>
          <w:p w14:paraId="24BCEB72" w14:textId="6D9A302B" w:rsidR="0010328F" w:rsidRPr="006345CB" w:rsidRDefault="006345CB" w:rsidP="00725531">
            <w:pPr>
              <w:spacing w:after="0" w:line="240" w:lineRule="auto"/>
              <w:jc w:val="center"/>
              <w:rPr>
                <w:rFonts w:ascii="Gill Sans" w:eastAsia="Times New Roman" w:hAnsi="Gill Sans" w:cs="Times New Roman"/>
                <w:b/>
                <w:sz w:val="24"/>
                <w:szCs w:val="24"/>
                <w:lang w:eastAsia="en-GB"/>
              </w:rPr>
            </w:pPr>
            <w:r w:rsidRPr="006345CB">
              <w:rPr>
                <w:rFonts w:ascii="Gill Sans" w:eastAsia="Times New Roman" w:hAnsi="Gill Sans" w:cs="Times New Roman"/>
                <w:b/>
                <w:color w:val="FF0000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  <w:hideMark/>
          </w:tcPr>
          <w:p w14:paraId="7EA1482E" w14:textId="069957F4" w:rsidR="0010328F" w:rsidRPr="006345CB" w:rsidRDefault="006345CB" w:rsidP="00725531">
            <w:pPr>
              <w:spacing w:after="0" w:line="240" w:lineRule="auto"/>
              <w:jc w:val="center"/>
              <w:rPr>
                <w:rFonts w:ascii="Gill Sans" w:eastAsia="Times New Roman" w:hAnsi="Gill Sans" w:cs="Times New Roman"/>
                <w:bCs/>
                <w:sz w:val="24"/>
                <w:szCs w:val="24"/>
                <w:lang w:eastAsia="en-GB"/>
              </w:rPr>
            </w:pPr>
            <w:r>
              <w:rPr>
                <w:rFonts w:ascii="Gill Sans" w:eastAsia="Times New Roman" w:hAnsi="Gill Sans" w:cs="Times New Roman"/>
                <w:bCs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  <w:hideMark/>
          </w:tcPr>
          <w:p w14:paraId="0C5B0FC4" w14:textId="18FCF015" w:rsidR="0010328F" w:rsidRPr="006345CB" w:rsidRDefault="006345CB" w:rsidP="00725531">
            <w:pPr>
              <w:spacing w:after="0" w:line="240" w:lineRule="auto"/>
              <w:jc w:val="center"/>
              <w:rPr>
                <w:rFonts w:ascii="Gill Sans" w:eastAsia="Times New Roman" w:hAnsi="Gill Sans" w:cs="Times New Roman"/>
                <w:b/>
                <w:sz w:val="24"/>
                <w:szCs w:val="24"/>
                <w:lang w:eastAsia="en-GB"/>
              </w:rPr>
            </w:pPr>
            <w:r w:rsidRPr="006345CB">
              <w:rPr>
                <w:rFonts w:ascii="Gill Sans" w:eastAsia="Times New Roman" w:hAnsi="Gill Sans" w:cs="Times New Roman"/>
                <w:b/>
                <w:color w:val="FF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1C7879D8" w14:textId="77777777" w:rsidR="0010328F" w:rsidRPr="006345CB" w:rsidRDefault="00EC5223" w:rsidP="00725531">
            <w:pPr>
              <w:spacing w:after="0" w:line="240" w:lineRule="auto"/>
              <w:jc w:val="center"/>
              <w:rPr>
                <w:rFonts w:ascii="Gill Sans" w:eastAsia="Times New Roman" w:hAnsi="Gill Sans" w:cs="Times New Roman"/>
                <w:bCs/>
                <w:sz w:val="24"/>
                <w:szCs w:val="24"/>
                <w:lang w:eastAsia="en-GB"/>
              </w:rPr>
            </w:pPr>
            <w:r w:rsidRPr="006345CB">
              <w:rPr>
                <w:rFonts w:ascii="Gill Sans" w:eastAsia="Times New Roman" w:hAnsi="Gill Sans" w:cs="Times New Roman"/>
                <w:bCs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  <w:hideMark/>
          </w:tcPr>
          <w:p w14:paraId="54E70A51" w14:textId="1E22D6A9" w:rsidR="0010328F" w:rsidRPr="006345CB" w:rsidRDefault="00433840" w:rsidP="00725531">
            <w:pPr>
              <w:spacing w:after="0" w:line="240" w:lineRule="auto"/>
              <w:jc w:val="center"/>
              <w:rPr>
                <w:rFonts w:ascii="Gill Sans" w:eastAsia="Times New Roman" w:hAnsi="Gill Sans" w:cs="Times New Roman"/>
                <w:b/>
                <w:sz w:val="24"/>
                <w:szCs w:val="24"/>
                <w:u w:val="thick"/>
                <w:lang w:eastAsia="en-GB"/>
              </w:rPr>
            </w:pPr>
            <w:r w:rsidRPr="006345CB">
              <w:rPr>
                <w:rFonts w:ascii="Gill Sans" w:eastAsia="Times New Roman" w:hAnsi="Gill Sans" w:cs="Times New Roman"/>
                <w:b/>
                <w:color w:val="FF0000"/>
                <w:sz w:val="24"/>
                <w:szCs w:val="24"/>
                <w:u w:val="thick"/>
                <w:lang w:eastAsia="en-GB"/>
              </w:rPr>
              <w:t>10</w:t>
            </w:r>
          </w:p>
        </w:tc>
      </w:tr>
      <w:tr w:rsidR="0010328F" w:rsidRPr="00262DCF" w14:paraId="04CCDDD6" w14:textId="77777777" w:rsidTr="006345CB">
        <w:trPr>
          <w:trHeight w:val="780"/>
          <w:jc w:val="center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847F6" w14:textId="77777777" w:rsidR="0010328F" w:rsidRPr="00262DCF" w:rsidRDefault="0010328F" w:rsidP="00725531">
            <w:pPr>
              <w:spacing w:after="0" w:line="240" w:lineRule="auto"/>
              <w:rPr>
                <w:rFonts w:ascii="Gill Sans" w:eastAsia="Times New Roman" w:hAnsi="Gill Sans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62DCF">
              <w:rPr>
                <w:rFonts w:ascii="Gill Sans" w:eastAsia="Times New Roman" w:hAnsi="Gill Sans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Total FOI Internal Reviews this </w:t>
            </w:r>
            <w:r w:rsidR="00A77442">
              <w:rPr>
                <w:rFonts w:ascii="Gill Sans" w:eastAsia="Times New Roman" w:hAnsi="Gill Sans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calendar </w:t>
            </w:r>
            <w:r>
              <w:rPr>
                <w:rFonts w:ascii="Gill Sans" w:eastAsia="Times New Roman" w:hAnsi="Gill Sans" w:cs="Times New Roman"/>
                <w:b/>
                <w:bCs/>
                <w:color w:val="000000"/>
                <w:sz w:val="20"/>
                <w:szCs w:val="20"/>
                <w:lang w:eastAsia="en-GB"/>
              </w:rPr>
              <w:t>year</w:t>
            </w:r>
            <w:r w:rsidRPr="00262DCF">
              <w:rPr>
                <w:rFonts w:ascii="Gill Sans" w:eastAsia="Times New Roman" w:hAnsi="Gill Sans" w:cs="Times New Roman"/>
                <w:b/>
                <w:bCs/>
                <w:color w:val="000000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1FD8774" w14:textId="77777777" w:rsidR="0010328F" w:rsidRPr="006345CB" w:rsidRDefault="0010328F" w:rsidP="00725531">
            <w:pPr>
              <w:spacing w:after="0" w:line="240" w:lineRule="auto"/>
              <w:jc w:val="center"/>
              <w:rPr>
                <w:rFonts w:ascii="Gill Sans" w:eastAsia="Times New Roman" w:hAnsi="Gill Sans" w:cs="Times New Roman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43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64233E0" w14:textId="33D49A41" w:rsidR="0010328F" w:rsidRPr="006345CB" w:rsidRDefault="006345CB" w:rsidP="00725531">
            <w:pPr>
              <w:spacing w:after="0" w:line="240" w:lineRule="auto"/>
              <w:jc w:val="center"/>
              <w:rPr>
                <w:rFonts w:ascii="Gill Sans" w:eastAsia="Times New Roman" w:hAnsi="Gill Sans" w:cs="Times New Roman"/>
                <w:b/>
                <w:sz w:val="24"/>
                <w:szCs w:val="24"/>
                <w:lang w:eastAsia="en-GB"/>
              </w:rPr>
            </w:pPr>
            <w:r w:rsidRPr="006345CB">
              <w:rPr>
                <w:rFonts w:ascii="Gill Sans" w:eastAsia="Times New Roman" w:hAnsi="Gill Sans" w:cs="Times New Roman"/>
                <w:b/>
                <w:color w:val="FF0000"/>
                <w:sz w:val="24"/>
                <w:szCs w:val="24"/>
                <w:u w:val="thick"/>
                <w:lang w:eastAsia="en-GB"/>
              </w:rPr>
              <w:t>10</w:t>
            </w:r>
          </w:p>
        </w:tc>
      </w:tr>
    </w:tbl>
    <w:p w14:paraId="42671CD4" w14:textId="77777777" w:rsidR="002B1379" w:rsidRPr="002E278F" w:rsidRDefault="002B1379" w:rsidP="0010328F">
      <w:pPr>
        <w:rPr>
          <w:rFonts w:ascii="Gill Sans" w:hAnsi="Gill Sans"/>
        </w:rPr>
      </w:pPr>
    </w:p>
    <w:sectPr w:rsidR="002B1379" w:rsidRPr="002E278F" w:rsidSect="00CA7D76">
      <w:pgSz w:w="11906" w:h="16838"/>
      <w:pgMar w:top="720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">
    <w:altName w:val="Lucida Sans Unicode"/>
    <w:panose1 w:val="020B06020202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A3739"/>
    <w:multiLevelType w:val="hybridMultilevel"/>
    <w:tmpl w:val="3AC62D86"/>
    <w:lvl w:ilvl="0" w:tplc="BB2AF47E">
      <w:start w:val="36"/>
      <w:numFmt w:val="bullet"/>
      <w:lvlText w:val="-"/>
      <w:lvlJc w:val="left"/>
      <w:pPr>
        <w:ind w:left="720" w:hanging="360"/>
      </w:pPr>
      <w:rPr>
        <w:rFonts w:ascii="Gill Sans" w:eastAsiaTheme="minorHAnsi" w:hAnsi="Gill San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17FB0"/>
    <w:multiLevelType w:val="hybridMultilevel"/>
    <w:tmpl w:val="E03A8C9E"/>
    <w:lvl w:ilvl="0" w:tplc="3A927D78">
      <w:start w:val="2018"/>
      <w:numFmt w:val="bullet"/>
      <w:lvlText w:val="-"/>
      <w:lvlJc w:val="left"/>
      <w:pPr>
        <w:ind w:left="720" w:hanging="360"/>
      </w:pPr>
      <w:rPr>
        <w:rFonts w:ascii="Gill Sans" w:eastAsiaTheme="minorHAnsi" w:hAnsi="Gill San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D26F06"/>
    <w:multiLevelType w:val="hybridMultilevel"/>
    <w:tmpl w:val="BD30571A"/>
    <w:lvl w:ilvl="0" w:tplc="610EF4EC">
      <w:start w:val="36"/>
      <w:numFmt w:val="bullet"/>
      <w:lvlText w:val="-"/>
      <w:lvlJc w:val="left"/>
      <w:pPr>
        <w:ind w:left="720" w:hanging="360"/>
      </w:pPr>
      <w:rPr>
        <w:rFonts w:ascii="Gill Sans" w:eastAsiaTheme="minorHAnsi" w:hAnsi="Gill San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1691757">
    <w:abstractNumId w:val="1"/>
  </w:num>
  <w:num w:numId="2" w16cid:durableId="2027711681">
    <w:abstractNumId w:val="2"/>
  </w:num>
  <w:num w:numId="3" w16cid:durableId="1025787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36C"/>
    <w:rsid w:val="00007344"/>
    <w:rsid w:val="000423F5"/>
    <w:rsid w:val="00050790"/>
    <w:rsid w:val="000534B1"/>
    <w:rsid w:val="00054268"/>
    <w:rsid w:val="00057506"/>
    <w:rsid w:val="00061626"/>
    <w:rsid w:val="00070D0B"/>
    <w:rsid w:val="00097EA8"/>
    <w:rsid w:val="000D7B81"/>
    <w:rsid w:val="0010328F"/>
    <w:rsid w:val="00104546"/>
    <w:rsid w:val="00114F95"/>
    <w:rsid w:val="0012132B"/>
    <w:rsid w:val="00122F5E"/>
    <w:rsid w:val="001230E3"/>
    <w:rsid w:val="001362A2"/>
    <w:rsid w:val="00137B84"/>
    <w:rsid w:val="00137E17"/>
    <w:rsid w:val="00142EB4"/>
    <w:rsid w:val="00143B44"/>
    <w:rsid w:val="00145B87"/>
    <w:rsid w:val="00151C77"/>
    <w:rsid w:val="00152180"/>
    <w:rsid w:val="00154491"/>
    <w:rsid w:val="001553A6"/>
    <w:rsid w:val="00176E43"/>
    <w:rsid w:val="001A3552"/>
    <w:rsid w:val="001B2A38"/>
    <w:rsid w:val="001B70C4"/>
    <w:rsid w:val="001D165D"/>
    <w:rsid w:val="001D2BEA"/>
    <w:rsid w:val="001F7FBB"/>
    <w:rsid w:val="0021442A"/>
    <w:rsid w:val="002202CC"/>
    <w:rsid w:val="00240E67"/>
    <w:rsid w:val="002444A5"/>
    <w:rsid w:val="002517F7"/>
    <w:rsid w:val="00262113"/>
    <w:rsid w:val="00270B62"/>
    <w:rsid w:val="002735EC"/>
    <w:rsid w:val="00292CEC"/>
    <w:rsid w:val="00293BCE"/>
    <w:rsid w:val="0029755E"/>
    <w:rsid w:val="002A46A8"/>
    <w:rsid w:val="002B1379"/>
    <w:rsid w:val="002C2353"/>
    <w:rsid w:val="002C2E5A"/>
    <w:rsid w:val="002D0A8F"/>
    <w:rsid w:val="002D3A09"/>
    <w:rsid w:val="002E278F"/>
    <w:rsid w:val="002F4631"/>
    <w:rsid w:val="002F5165"/>
    <w:rsid w:val="00331981"/>
    <w:rsid w:val="00357560"/>
    <w:rsid w:val="00371DA1"/>
    <w:rsid w:val="0037718D"/>
    <w:rsid w:val="003963BE"/>
    <w:rsid w:val="00397E0E"/>
    <w:rsid w:val="003C0A61"/>
    <w:rsid w:val="003C20B2"/>
    <w:rsid w:val="003E0173"/>
    <w:rsid w:val="0040448F"/>
    <w:rsid w:val="00427671"/>
    <w:rsid w:val="00433840"/>
    <w:rsid w:val="00434D59"/>
    <w:rsid w:val="00450347"/>
    <w:rsid w:val="00450DFE"/>
    <w:rsid w:val="00467C0D"/>
    <w:rsid w:val="004808F7"/>
    <w:rsid w:val="00481C79"/>
    <w:rsid w:val="00487881"/>
    <w:rsid w:val="0049642C"/>
    <w:rsid w:val="004A04C0"/>
    <w:rsid w:val="004A63C7"/>
    <w:rsid w:val="004B72C5"/>
    <w:rsid w:val="004C0999"/>
    <w:rsid w:val="004C736F"/>
    <w:rsid w:val="004D39B9"/>
    <w:rsid w:val="004D5EEC"/>
    <w:rsid w:val="004E16E0"/>
    <w:rsid w:val="004E3ECD"/>
    <w:rsid w:val="00502494"/>
    <w:rsid w:val="005076A0"/>
    <w:rsid w:val="00525B2E"/>
    <w:rsid w:val="005269E2"/>
    <w:rsid w:val="00527BD4"/>
    <w:rsid w:val="00534933"/>
    <w:rsid w:val="005368B3"/>
    <w:rsid w:val="00550DA8"/>
    <w:rsid w:val="00557967"/>
    <w:rsid w:val="0056068B"/>
    <w:rsid w:val="00566707"/>
    <w:rsid w:val="00571DF8"/>
    <w:rsid w:val="00580AD4"/>
    <w:rsid w:val="0058731C"/>
    <w:rsid w:val="00596494"/>
    <w:rsid w:val="0059786D"/>
    <w:rsid w:val="005C1D0D"/>
    <w:rsid w:val="005C236E"/>
    <w:rsid w:val="005C5D44"/>
    <w:rsid w:val="005C6DB5"/>
    <w:rsid w:val="005E281C"/>
    <w:rsid w:val="005E55BC"/>
    <w:rsid w:val="005E636C"/>
    <w:rsid w:val="005F29B4"/>
    <w:rsid w:val="00624B09"/>
    <w:rsid w:val="006345CB"/>
    <w:rsid w:val="00635F3E"/>
    <w:rsid w:val="0065711A"/>
    <w:rsid w:val="0067564A"/>
    <w:rsid w:val="00677516"/>
    <w:rsid w:val="00682DAC"/>
    <w:rsid w:val="006969A0"/>
    <w:rsid w:val="006A5B10"/>
    <w:rsid w:val="006B615E"/>
    <w:rsid w:val="006C126E"/>
    <w:rsid w:val="006D45CB"/>
    <w:rsid w:val="006D6F77"/>
    <w:rsid w:val="00701590"/>
    <w:rsid w:val="00702009"/>
    <w:rsid w:val="00721A11"/>
    <w:rsid w:val="0072764D"/>
    <w:rsid w:val="00732B64"/>
    <w:rsid w:val="0075421A"/>
    <w:rsid w:val="00761616"/>
    <w:rsid w:val="00767CE0"/>
    <w:rsid w:val="007707E8"/>
    <w:rsid w:val="00775D36"/>
    <w:rsid w:val="0078741E"/>
    <w:rsid w:val="007B7C09"/>
    <w:rsid w:val="007C0E91"/>
    <w:rsid w:val="007E23E6"/>
    <w:rsid w:val="007E3F64"/>
    <w:rsid w:val="007E543B"/>
    <w:rsid w:val="00804DE4"/>
    <w:rsid w:val="00811821"/>
    <w:rsid w:val="008143C8"/>
    <w:rsid w:val="00821296"/>
    <w:rsid w:val="00826999"/>
    <w:rsid w:val="00833657"/>
    <w:rsid w:val="00846D7B"/>
    <w:rsid w:val="00851767"/>
    <w:rsid w:val="00853C08"/>
    <w:rsid w:val="00871981"/>
    <w:rsid w:val="00873958"/>
    <w:rsid w:val="008862B1"/>
    <w:rsid w:val="008C15AF"/>
    <w:rsid w:val="008D6A16"/>
    <w:rsid w:val="008E42AF"/>
    <w:rsid w:val="008F1C3A"/>
    <w:rsid w:val="00904B19"/>
    <w:rsid w:val="00905631"/>
    <w:rsid w:val="00905718"/>
    <w:rsid w:val="00907984"/>
    <w:rsid w:val="00926B0D"/>
    <w:rsid w:val="00935C6F"/>
    <w:rsid w:val="00951045"/>
    <w:rsid w:val="00956CF1"/>
    <w:rsid w:val="00966BE5"/>
    <w:rsid w:val="009715FA"/>
    <w:rsid w:val="009745CA"/>
    <w:rsid w:val="009959A1"/>
    <w:rsid w:val="009A5A44"/>
    <w:rsid w:val="009B0ABA"/>
    <w:rsid w:val="009B604A"/>
    <w:rsid w:val="009D04C5"/>
    <w:rsid w:val="009E7394"/>
    <w:rsid w:val="00A00AD8"/>
    <w:rsid w:val="00A02ED1"/>
    <w:rsid w:val="00A05758"/>
    <w:rsid w:val="00A1350E"/>
    <w:rsid w:val="00A173C5"/>
    <w:rsid w:val="00A333EF"/>
    <w:rsid w:val="00A35159"/>
    <w:rsid w:val="00A3527E"/>
    <w:rsid w:val="00A6477B"/>
    <w:rsid w:val="00A67018"/>
    <w:rsid w:val="00A717B2"/>
    <w:rsid w:val="00A7409E"/>
    <w:rsid w:val="00A77442"/>
    <w:rsid w:val="00A86B53"/>
    <w:rsid w:val="00AB5424"/>
    <w:rsid w:val="00AC2723"/>
    <w:rsid w:val="00AC4400"/>
    <w:rsid w:val="00AE3A7B"/>
    <w:rsid w:val="00AE7A4E"/>
    <w:rsid w:val="00B03CF6"/>
    <w:rsid w:val="00B0551A"/>
    <w:rsid w:val="00B061DC"/>
    <w:rsid w:val="00B5145F"/>
    <w:rsid w:val="00B541DC"/>
    <w:rsid w:val="00B665CD"/>
    <w:rsid w:val="00B7534D"/>
    <w:rsid w:val="00B92AD8"/>
    <w:rsid w:val="00B939DC"/>
    <w:rsid w:val="00B93E9B"/>
    <w:rsid w:val="00BB15F0"/>
    <w:rsid w:val="00BD5B4D"/>
    <w:rsid w:val="00BE4762"/>
    <w:rsid w:val="00BF1889"/>
    <w:rsid w:val="00C224BF"/>
    <w:rsid w:val="00C43791"/>
    <w:rsid w:val="00C52C2F"/>
    <w:rsid w:val="00C53DCC"/>
    <w:rsid w:val="00C5423D"/>
    <w:rsid w:val="00C673EC"/>
    <w:rsid w:val="00C76234"/>
    <w:rsid w:val="00C9374E"/>
    <w:rsid w:val="00CA2DEC"/>
    <w:rsid w:val="00CA443F"/>
    <w:rsid w:val="00CA7632"/>
    <w:rsid w:val="00CA7D76"/>
    <w:rsid w:val="00CB5523"/>
    <w:rsid w:val="00CD3C7E"/>
    <w:rsid w:val="00CD7CE8"/>
    <w:rsid w:val="00CF6F7D"/>
    <w:rsid w:val="00D06998"/>
    <w:rsid w:val="00D12299"/>
    <w:rsid w:val="00D12449"/>
    <w:rsid w:val="00D414A9"/>
    <w:rsid w:val="00D62963"/>
    <w:rsid w:val="00D74A45"/>
    <w:rsid w:val="00D818C1"/>
    <w:rsid w:val="00DB0B1A"/>
    <w:rsid w:val="00DB2D96"/>
    <w:rsid w:val="00DD373B"/>
    <w:rsid w:val="00DD522B"/>
    <w:rsid w:val="00DE5F3B"/>
    <w:rsid w:val="00E23066"/>
    <w:rsid w:val="00E33FCD"/>
    <w:rsid w:val="00E36095"/>
    <w:rsid w:val="00E37232"/>
    <w:rsid w:val="00E40E93"/>
    <w:rsid w:val="00E45EED"/>
    <w:rsid w:val="00E64A3D"/>
    <w:rsid w:val="00E84ED6"/>
    <w:rsid w:val="00E97059"/>
    <w:rsid w:val="00E976A5"/>
    <w:rsid w:val="00EA3A8C"/>
    <w:rsid w:val="00EB0791"/>
    <w:rsid w:val="00EC2BF5"/>
    <w:rsid w:val="00EC5223"/>
    <w:rsid w:val="00ED1430"/>
    <w:rsid w:val="00ED3FF0"/>
    <w:rsid w:val="00ED5044"/>
    <w:rsid w:val="00ED64D0"/>
    <w:rsid w:val="00EE0F9D"/>
    <w:rsid w:val="00EE3290"/>
    <w:rsid w:val="00EE32B4"/>
    <w:rsid w:val="00F00690"/>
    <w:rsid w:val="00F03FF6"/>
    <w:rsid w:val="00F06DE3"/>
    <w:rsid w:val="00F14CAF"/>
    <w:rsid w:val="00F179CA"/>
    <w:rsid w:val="00F2577B"/>
    <w:rsid w:val="00F308D6"/>
    <w:rsid w:val="00F31895"/>
    <w:rsid w:val="00F430F6"/>
    <w:rsid w:val="00F45600"/>
    <w:rsid w:val="00F551BF"/>
    <w:rsid w:val="00F63299"/>
    <w:rsid w:val="00F65868"/>
    <w:rsid w:val="00F76ADA"/>
    <w:rsid w:val="00FA0A88"/>
    <w:rsid w:val="00FD6044"/>
    <w:rsid w:val="00FD6497"/>
    <w:rsid w:val="00FD6FA4"/>
    <w:rsid w:val="00FE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9E168"/>
  <w15:chartTrackingRefBased/>
  <w15:docId w15:val="{390F51F8-6E82-486B-80E8-DCFFC9558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840"/>
  </w:style>
  <w:style w:type="paragraph" w:styleId="Heading3">
    <w:name w:val="heading 3"/>
    <w:basedOn w:val="Normal"/>
    <w:link w:val="Heading3Char"/>
    <w:uiPriority w:val="9"/>
    <w:qFormat/>
    <w:rsid w:val="009715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6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44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43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04B19"/>
    <w:pPr>
      <w:ind w:left="720"/>
      <w:contextualSpacing/>
    </w:pPr>
  </w:style>
  <w:style w:type="paragraph" w:customStyle="1" w:styleId="Default">
    <w:name w:val="Default"/>
    <w:rsid w:val="00A6477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6477B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715FA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9715F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71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4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greenwich.council.local\homefolders\HOME3\karen.wise\Desktop\FOI%20EIR%20Reporting%20-%20SPREADSHEET%20-%20Sep%2016%20to%20present%20v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greenwich.council.local\homefolders\HOME3\karen.wise\Desktop\2021-22%20Performance%20Reporting\2021%20Calendar%20Year%20report\FOI%20&amp;%20EIR%20Pie%20Chart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greenwich.council.local\homefolders\HOME3\karen.wise\Desktop\2021-22%20Performance%20Reporting\2021%20Calendar%20Year%20report\FOI%20&amp;%20EIR%20Pie%20Charts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b="1">
                <a:solidFill>
                  <a:srgbClr val="C00000"/>
                </a:solidFill>
                <a:latin typeface="Gill Sans" panose="020B0602020204020204" pitchFamily="34" charset="0"/>
              </a:rPr>
              <a:t>FOI / EIR performance </a:t>
            </a:r>
          </a:p>
          <a:p>
            <a:pPr>
              <a:defRPr/>
            </a:pPr>
            <a:r>
              <a:rPr lang="en-GB" b="1" baseline="0">
                <a:solidFill>
                  <a:srgbClr val="C00000"/>
                </a:solidFill>
                <a:latin typeface="Gill Sans" panose="020B0602020204020204" pitchFamily="34" charset="0"/>
              </a:rPr>
              <a:t>January 2022 to December 2022</a:t>
            </a:r>
          </a:p>
          <a:p>
            <a:pPr>
              <a:defRPr/>
            </a:pPr>
            <a:endParaRPr lang="en-GB" b="1">
              <a:solidFill>
                <a:srgbClr val="C00000"/>
              </a:solidFill>
              <a:latin typeface="Gill Sans" panose="020B0602020204020204" pitchFamily="34" charset="0"/>
            </a:endParaRPr>
          </a:p>
        </c:rich>
      </c:tx>
      <c:layout>
        <c:manualLayout>
          <c:xMode val="edge"/>
          <c:yMode val="edge"/>
          <c:x val="0.35775340863551092"/>
          <c:y val="2.160701768713038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6.6343672449748814E-2"/>
          <c:y val="0.19439757899212043"/>
          <c:w val="0.91793305710999962"/>
          <c:h val="0.64030421920411562"/>
        </c:manualLayout>
      </c:layout>
      <c:lineChart>
        <c:grouping val="standard"/>
        <c:varyColors val="0"/>
        <c:ser>
          <c:idx val="0"/>
          <c:order val="0"/>
          <c:tx>
            <c:v>Percentage on Time</c:v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diamond"/>
            <c:size val="6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9176999252404659E-2"/>
                  <c:y val="2.8388063834205719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9E6-460C-84CA-7D6E16F2D735}"/>
                </c:ext>
              </c:extLst>
            </c:dLbl>
            <c:dLbl>
              <c:idx val="1"/>
              <c:layout>
                <c:manualLayout>
                  <c:x val="-3.0379470569017537E-2"/>
                  <c:y val="-5.63335001783822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9E6-460C-84CA-7D6E16F2D735}"/>
                </c:ext>
              </c:extLst>
            </c:dLbl>
            <c:dLbl>
              <c:idx val="2"/>
              <c:layout>
                <c:manualLayout>
                  <c:x val="-3.0379470569017474E-2"/>
                  <c:y val="-5.06980424105914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9E6-460C-84CA-7D6E16F2D735}"/>
                </c:ext>
              </c:extLst>
            </c:dLbl>
            <c:dLbl>
              <c:idx val="7"/>
              <c:layout>
                <c:manualLayout>
                  <c:x val="-2.8670604325073311E-2"/>
                  <c:y val="-4.22448557589053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9E6-460C-84CA-7D6E16F2D735}"/>
                </c:ext>
              </c:extLst>
            </c:dLbl>
            <c:dLbl>
              <c:idx val="8"/>
              <c:layout>
                <c:manualLayout>
                  <c:x val="-3.0379470569017474E-2"/>
                  <c:y val="2.25629085706881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9E6-460C-84CA-7D6E16F2D735}"/>
                </c:ext>
              </c:extLst>
            </c:dLbl>
            <c:dLbl>
              <c:idx val="10"/>
              <c:layout>
                <c:manualLayout>
                  <c:x val="-3.0379470569017474E-2"/>
                  <c:y val="-3.94271268750099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9E6-460C-84CA-7D6E16F2D73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'Total Received'!$BN$2:$BY$2</c:f>
              <c:numCache>
                <c:formatCode>mmm\-yy</c:formatCode>
                <c:ptCount val="12"/>
                <c:pt idx="0">
                  <c:v>44562</c:v>
                </c:pt>
                <c:pt idx="1">
                  <c:v>44593</c:v>
                </c:pt>
                <c:pt idx="2">
                  <c:v>44621</c:v>
                </c:pt>
                <c:pt idx="3">
                  <c:v>44652</c:v>
                </c:pt>
                <c:pt idx="4">
                  <c:v>44682</c:v>
                </c:pt>
                <c:pt idx="5">
                  <c:v>44713</c:v>
                </c:pt>
                <c:pt idx="6">
                  <c:v>44743</c:v>
                </c:pt>
                <c:pt idx="7">
                  <c:v>44774</c:v>
                </c:pt>
                <c:pt idx="8">
                  <c:v>44805</c:v>
                </c:pt>
                <c:pt idx="9">
                  <c:v>44835</c:v>
                </c:pt>
                <c:pt idx="10">
                  <c:v>44866</c:v>
                </c:pt>
                <c:pt idx="11">
                  <c:v>44896</c:v>
                </c:pt>
              </c:numCache>
            </c:numRef>
          </c:cat>
          <c:val>
            <c:numRef>
              <c:f>'Percentage Overall'!$BN$10:$BY$10</c:f>
              <c:numCache>
                <c:formatCode>0%</c:formatCode>
                <c:ptCount val="12"/>
                <c:pt idx="0">
                  <c:v>0.85</c:v>
                </c:pt>
                <c:pt idx="1">
                  <c:v>0.85</c:v>
                </c:pt>
                <c:pt idx="2">
                  <c:v>0.88</c:v>
                </c:pt>
                <c:pt idx="3">
                  <c:v>0.9</c:v>
                </c:pt>
                <c:pt idx="4">
                  <c:v>0.91</c:v>
                </c:pt>
                <c:pt idx="5">
                  <c:v>0.9</c:v>
                </c:pt>
                <c:pt idx="6">
                  <c:v>0.91</c:v>
                </c:pt>
                <c:pt idx="7">
                  <c:v>0.87</c:v>
                </c:pt>
                <c:pt idx="8">
                  <c:v>0.85</c:v>
                </c:pt>
                <c:pt idx="9">
                  <c:v>0.9</c:v>
                </c:pt>
                <c:pt idx="10">
                  <c:v>0.88</c:v>
                </c:pt>
                <c:pt idx="11">
                  <c:v>0.92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A9E6-460C-84CA-7D6E16F2D735}"/>
            </c:ext>
          </c:extLst>
        </c:ser>
        <c:ser>
          <c:idx val="1"/>
          <c:order val="1"/>
          <c:tx>
            <c:strRef>
              <c:f>'Percentage Overall'!$A$11</c:f>
              <c:strCache>
                <c:ptCount val="1"/>
                <c:pt idx="0">
                  <c:v>Statutory Required Perf.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numRef>
              <c:f>'Total Received'!$BN$2:$BY$2</c:f>
              <c:numCache>
                <c:formatCode>mmm\-yy</c:formatCode>
                <c:ptCount val="12"/>
                <c:pt idx="0">
                  <c:v>44562</c:v>
                </c:pt>
                <c:pt idx="1">
                  <c:v>44593</c:v>
                </c:pt>
                <c:pt idx="2">
                  <c:v>44621</c:v>
                </c:pt>
                <c:pt idx="3">
                  <c:v>44652</c:v>
                </c:pt>
                <c:pt idx="4">
                  <c:v>44682</c:v>
                </c:pt>
                <c:pt idx="5">
                  <c:v>44713</c:v>
                </c:pt>
                <c:pt idx="6">
                  <c:v>44743</c:v>
                </c:pt>
                <c:pt idx="7">
                  <c:v>44774</c:v>
                </c:pt>
                <c:pt idx="8">
                  <c:v>44805</c:v>
                </c:pt>
                <c:pt idx="9">
                  <c:v>44835</c:v>
                </c:pt>
                <c:pt idx="10">
                  <c:v>44866</c:v>
                </c:pt>
                <c:pt idx="11">
                  <c:v>44896</c:v>
                </c:pt>
              </c:numCache>
            </c:numRef>
          </c:cat>
          <c:val>
            <c:numRef>
              <c:f>'Percentage Overall'!$BN$11:$BY$11</c:f>
              <c:numCache>
                <c:formatCode>0%</c:formatCode>
                <c:ptCount val="12"/>
                <c:pt idx="0">
                  <c:v>0.9</c:v>
                </c:pt>
                <c:pt idx="1">
                  <c:v>0.9</c:v>
                </c:pt>
                <c:pt idx="2">
                  <c:v>0.9</c:v>
                </c:pt>
                <c:pt idx="3">
                  <c:v>0.9</c:v>
                </c:pt>
                <c:pt idx="4">
                  <c:v>0.9</c:v>
                </c:pt>
                <c:pt idx="5">
                  <c:v>0.9</c:v>
                </c:pt>
                <c:pt idx="6">
                  <c:v>0.9</c:v>
                </c:pt>
                <c:pt idx="7">
                  <c:v>0.9</c:v>
                </c:pt>
                <c:pt idx="8">
                  <c:v>0.9</c:v>
                </c:pt>
                <c:pt idx="9">
                  <c:v>0.9</c:v>
                </c:pt>
                <c:pt idx="10">
                  <c:v>0.9</c:v>
                </c:pt>
                <c:pt idx="11">
                  <c:v>0.9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A9E6-460C-84CA-7D6E16F2D7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90946576"/>
        <c:axId val="390946904"/>
      </c:lineChart>
      <c:lineChart>
        <c:grouping val="standard"/>
        <c:varyColors val="0"/>
        <c:ser>
          <c:idx val="2"/>
          <c:order val="2"/>
          <c:tx>
            <c:v>Total Received</c:v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6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2.7068441304077543E-2"/>
                  <c:y val="5.91512290622775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9E6-460C-84CA-7D6E16F2D73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'Total Received'!$BN$10:$BY$10</c:f>
              <c:numCache>
                <c:formatCode>General</c:formatCode>
                <c:ptCount val="12"/>
                <c:pt idx="0">
                  <c:v>143</c:v>
                </c:pt>
                <c:pt idx="1">
                  <c:v>160</c:v>
                </c:pt>
                <c:pt idx="2">
                  <c:v>152</c:v>
                </c:pt>
                <c:pt idx="3">
                  <c:v>135</c:v>
                </c:pt>
                <c:pt idx="4">
                  <c:v>152</c:v>
                </c:pt>
                <c:pt idx="5">
                  <c:v>155</c:v>
                </c:pt>
                <c:pt idx="6">
                  <c:v>133</c:v>
                </c:pt>
                <c:pt idx="7">
                  <c:v>138</c:v>
                </c:pt>
                <c:pt idx="8">
                  <c:v>137</c:v>
                </c:pt>
                <c:pt idx="9">
                  <c:v>136</c:v>
                </c:pt>
                <c:pt idx="10">
                  <c:v>128</c:v>
                </c:pt>
                <c:pt idx="11">
                  <c:v>104</c:v>
                </c:pt>
              </c:numCache>
            </c:numRef>
          </c:cat>
          <c:val>
            <c:numRef>
              <c:f>'Total Received'!$BN$10:$BY$10</c:f>
              <c:numCache>
                <c:formatCode>General</c:formatCode>
                <c:ptCount val="12"/>
                <c:pt idx="0">
                  <c:v>143</c:v>
                </c:pt>
                <c:pt idx="1">
                  <c:v>160</c:v>
                </c:pt>
                <c:pt idx="2">
                  <c:v>152</c:v>
                </c:pt>
                <c:pt idx="3">
                  <c:v>135</c:v>
                </c:pt>
                <c:pt idx="4">
                  <c:v>152</c:v>
                </c:pt>
                <c:pt idx="5">
                  <c:v>155</c:v>
                </c:pt>
                <c:pt idx="6">
                  <c:v>133</c:v>
                </c:pt>
                <c:pt idx="7">
                  <c:v>138</c:v>
                </c:pt>
                <c:pt idx="8">
                  <c:v>137</c:v>
                </c:pt>
                <c:pt idx="9">
                  <c:v>136</c:v>
                </c:pt>
                <c:pt idx="10">
                  <c:v>128</c:v>
                </c:pt>
                <c:pt idx="11">
                  <c:v>104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A9E6-460C-84CA-7D6E16F2D7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88588152"/>
        <c:axId val="288585528"/>
      </c:lineChart>
      <c:dateAx>
        <c:axId val="39094657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mmm\-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Gill Sans" panose="020B0602020204020204" pitchFamily="34" charset="0"/>
                <a:ea typeface="+mn-ea"/>
                <a:cs typeface="+mn-cs"/>
              </a:defRPr>
            </a:pPr>
            <a:endParaRPr lang="en-US"/>
          </a:p>
        </c:txPr>
        <c:crossAx val="390946904"/>
        <c:crosses val="autoZero"/>
        <c:auto val="1"/>
        <c:lblOffset val="100"/>
        <c:baseTimeUnit val="months"/>
      </c:dateAx>
      <c:valAx>
        <c:axId val="390946904"/>
        <c:scaling>
          <c:orientation val="minMax"/>
          <c:max val="1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Gill Sans" panose="020B0602020204020204" pitchFamily="34" charset="0"/>
                <a:ea typeface="+mn-ea"/>
                <a:cs typeface="+mn-cs"/>
              </a:defRPr>
            </a:pPr>
            <a:endParaRPr lang="en-US"/>
          </a:p>
        </c:txPr>
        <c:crossAx val="390946576"/>
        <c:crosses val="autoZero"/>
        <c:crossBetween val="between"/>
      </c:valAx>
      <c:valAx>
        <c:axId val="288585528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88588152"/>
        <c:crosses val="max"/>
        <c:crossBetween val="between"/>
      </c:valAx>
      <c:catAx>
        <c:axId val="28858815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288585528"/>
        <c:crosses val="autoZero"/>
        <c:auto val="1"/>
        <c:lblAlgn val="ctr"/>
        <c:lblOffset val="100"/>
        <c:tickLblSkip val="1"/>
        <c:tickMarkSkip val="1"/>
        <c:noMultiLvlLbl val="1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rgbClr val="C00000"/>
                </a:solidFill>
                <a:latin typeface="+mn-lt"/>
                <a:ea typeface="+mn-ea"/>
                <a:cs typeface="+mn-cs"/>
              </a:defRPr>
            </a:pPr>
            <a:r>
              <a:rPr lang="en-GB" baseline="0">
                <a:solidFill>
                  <a:srgbClr val="C00000"/>
                </a:solidFill>
              </a:rPr>
              <a:t>FOI Status - Financial Year 2022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rgbClr val="C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261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9815887723670789"/>
          <c:y val="0.14214370711699623"/>
          <c:w val="0.60606069742239466"/>
          <c:h val="0.82170975010760305"/>
        </c:manualLayout>
      </c:layout>
      <c:pie3DChart>
        <c:varyColors val="1"/>
        <c:ser>
          <c:idx val="0"/>
          <c:order val="0"/>
          <c:spPr>
            <a:ln>
              <a:solidFill>
                <a:schemeClr val="bg1"/>
              </a:solidFill>
            </a:ln>
            <a:scene3d>
              <a:camera prst="orthographicFront"/>
              <a:lightRig rig="threePt" dir="t"/>
            </a:scene3d>
            <a:sp3d prstMaterial="metal">
              <a:bevelT w="3175000" h="635000"/>
              <a:bevelB w="3175000" h="0"/>
              <a:contourClr>
                <a:srgbClr val="000000"/>
              </a:contourClr>
            </a:sp3d>
          </c:spPr>
          <c:dPt>
            <c:idx val="0"/>
            <c:bubble3D val="0"/>
            <c:spPr>
              <a:solidFill>
                <a:srgbClr val="FFFF00"/>
              </a:solidFill>
              <a:ln>
                <a:solidFill>
                  <a:schemeClr val="bg1"/>
                </a:solidFill>
              </a:ln>
              <a:effectLst/>
              <a:scene3d>
                <a:camera prst="orthographicFront"/>
                <a:lightRig rig="threePt" dir="t"/>
              </a:scene3d>
              <a:sp3d prstMaterial="metal">
                <a:bevelT w="3175000" h="635000"/>
                <a:bevelB w="3175000" h="0"/>
                <a:contourClr>
                  <a:schemeClr val="bg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F2D5-4146-A1C0-376A3404811F}"/>
              </c:ext>
            </c:extLst>
          </c:dPt>
          <c:dPt>
            <c:idx val="1"/>
            <c:bubble3D val="0"/>
            <c:spPr>
              <a:solidFill>
                <a:srgbClr val="FFC000"/>
              </a:solidFill>
              <a:ln>
                <a:solidFill>
                  <a:schemeClr val="bg1"/>
                </a:solidFill>
              </a:ln>
              <a:effectLst/>
              <a:scene3d>
                <a:camera prst="orthographicFront"/>
                <a:lightRig rig="threePt" dir="t"/>
              </a:scene3d>
              <a:sp3d prstMaterial="metal">
                <a:bevelT w="3175000" h="635000"/>
                <a:bevelB w="3175000" h="0"/>
                <a:contourClr>
                  <a:schemeClr val="bg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F2D5-4146-A1C0-376A3404811F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solidFill>
                  <a:schemeClr val="bg1"/>
                </a:solidFill>
              </a:ln>
              <a:effectLst/>
              <a:scene3d>
                <a:camera prst="orthographicFront"/>
                <a:lightRig rig="threePt" dir="t"/>
              </a:scene3d>
              <a:sp3d prstMaterial="metal">
                <a:bevelT w="3175000" h="635000"/>
                <a:bevelB w="3175000" h="0"/>
                <a:contourClr>
                  <a:schemeClr val="bg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F2D5-4146-A1C0-376A3404811F}"/>
              </c:ext>
            </c:extLst>
          </c:dPt>
          <c:dPt>
            <c:idx val="3"/>
            <c:bubble3D val="0"/>
            <c:spPr>
              <a:solidFill>
                <a:srgbClr val="FF0000"/>
              </a:solidFill>
              <a:ln>
                <a:solidFill>
                  <a:schemeClr val="bg1"/>
                </a:solidFill>
              </a:ln>
              <a:effectLst/>
              <a:scene3d>
                <a:camera prst="orthographicFront"/>
                <a:lightRig rig="threePt" dir="t"/>
              </a:scene3d>
              <a:sp3d prstMaterial="metal">
                <a:bevelT w="3175000" h="635000"/>
                <a:bevelB w="3175000" h="0"/>
                <a:contourClr>
                  <a:schemeClr val="bg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F2D5-4146-A1C0-376A3404811F}"/>
              </c:ext>
            </c:extLst>
          </c:dPt>
          <c:dPt>
            <c:idx val="4"/>
            <c:bubble3D val="0"/>
            <c:spPr>
              <a:solidFill>
                <a:srgbClr val="00B0F0"/>
              </a:solidFill>
              <a:ln>
                <a:solidFill>
                  <a:schemeClr val="bg1"/>
                </a:solidFill>
              </a:ln>
              <a:effectLst/>
              <a:scene3d>
                <a:camera prst="orthographicFront"/>
                <a:lightRig rig="threePt" dir="t"/>
              </a:scene3d>
              <a:sp3d prstMaterial="metal">
                <a:bevelT w="3175000" h="635000"/>
                <a:bevelB w="3175000" h="0"/>
                <a:contourClr>
                  <a:schemeClr val="bg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F2D5-4146-A1C0-376A3404811F}"/>
              </c:ext>
            </c:extLst>
          </c:dPt>
          <c:dPt>
            <c:idx val="5"/>
            <c:bubble3D val="0"/>
            <c:spPr>
              <a:solidFill>
                <a:srgbClr val="92D050"/>
              </a:solidFill>
              <a:ln>
                <a:solidFill>
                  <a:schemeClr val="bg1"/>
                </a:solidFill>
              </a:ln>
              <a:effectLst/>
              <a:scene3d>
                <a:camera prst="orthographicFront"/>
                <a:lightRig rig="threePt" dir="t"/>
              </a:scene3d>
              <a:sp3d prstMaterial="metal">
                <a:bevelT w="3175000" h="635000"/>
                <a:bevelB w="3175000" h="0"/>
                <a:contourClr>
                  <a:schemeClr val="bg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F2D5-4146-A1C0-376A3404811F}"/>
              </c:ext>
            </c:extLst>
          </c:dPt>
          <c:dPt>
            <c:idx val="6"/>
            <c:bubble3D val="0"/>
            <c:spPr>
              <a:solidFill>
                <a:srgbClr val="7030A0"/>
              </a:solidFill>
              <a:ln>
                <a:solidFill>
                  <a:schemeClr val="bg1"/>
                </a:solidFill>
              </a:ln>
              <a:effectLst/>
              <a:scene3d>
                <a:camera prst="orthographicFront"/>
                <a:lightRig rig="threePt" dir="t"/>
              </a:scene3d>
              <a:sp3d prstMaterial="metal">
                <a:bevelT w="3175000" h="635000"/>
                <a:bevelB w="3175000" h="0"/>
                <a:contourClr>
                  <a:schemeClr val="bg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F2D5-4146-A1C0-376A3404811F}"/>
              </c:ext>
            </c:extLst>
          </c:dPt>
          <c:dLbls>
            <c:dLbl>
              <c:idx val="0"/>
              <c:layout>
                <c:manualLayout>
                  <c:x val="-2.3047366367015227E-2"/>
                  <c:y val="-4.6639997974529772E-2"/>
                </c:manualLayout>
              </c:layout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  <a:extLst>
                    <a:ext uri="{C807C97D-BFC1-408E-A445-0C87EB9F89A2}">
                      <ask:lineSketchStyleProps xmlns:ask="http://schemas.microsoft.com/office/drawing/2018/sketchyshapes" sd="0"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sk:type/>
                      </ask:lineSketchStyleProps>
                    </a:ext>
                  </a:extLst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rgbClr val="FF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80523"/>
                        <a:gd name="adj2" fmla="val -29710"/>
                      </a:avLst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1-F2D5-4146-A1C0-376A3404811F}"/>
                </c:ext>
              </c:extLst>
            </c:dLbl>
            <c:dLbl>
              <c:idx val="1"/>
              <c:layout>
                <c:manualLayout>
                  <c:x val="-1.0742562731668752E-2"/>
                  <c:y val="-9.6463022508038593E-3"/>
                </c:manualLayout>
              </c:layout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  <a:extLst>
                    <a:ext uri="{C807C97D-BFC1-408E-A445-0C87EB9F89A2}">
                      <ask:lineSketchStyleProps xmlns:ask="http://schemas.microsoft.com/office/drawing/2018/sketchyshapes" sd="0"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sk:type/>
                      </ask:lineSketchStyleProps>
                    </a:ext>
                  </a:extLst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rgbClr val="FF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88843"/>
                        <a:gd name="adj2" fmla="val 32880"/>
                      </a:avLst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3-F2D5-4146-A1C0-376A3404811F}"/>
                </c:ext>
              </c:extLst>
            </c:dLbl>
            <c:dLbl>
              <c:idx val="2"/>
              <c:layout>
                <c:manualLayout>
                  <c:x val="2.5742889350062876E-2"/>
                  <c:y val="-0.12175912094589462"/>
                </c:manualLayout>
              </c:layout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  <a:extLst>
                    <a:ext uri="{C807C97D-BFC1-408E-A445-0C87EB9F89A2}">
                      <ask:lineSketchStyleProps xmlns:ask="http://schemas.microsoft.com/office/drawing/2018/sketchyshapes" sd="0"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sk:type/>
                      </ask:lineSketchStyleProps>
                    </a:ext>
                  </a:extLst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rgbClr val="FF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51476"/>
                        <a:gd name="adj2" fmla="val 114758"/>
                      </a:avLst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5-F2D5-4146-A1C0-376A3404811F}"/>
                </c:ext>
              </c:extLst>
            </c:dLbl>
            <c:dLbl>
              <c:idx val="3"/>
              <c:layout>
                <c:manualLayout>
                  <c:x val="0.14533815053590537"/>
                  <c:y val="-7.9852140668911595E-2"/>
                </c:manualLayout>
              </c:layout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  <a:extLst>
                    <a:ext uri="{C807C97D-BFC1-408E-A445-0C87EB9F89A2}">
                      <ask:lineSketchStyleProps xmlns:ask="http://schemas.microsoft.com/office/drawing/2018/sketchyshapes" sd="0"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sk:type/>
                      </ask:lineSketchStyleProps>
                    </a:ext>
                  </a:extLst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rgbClr val="FF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-29320"/>
                        <a:gd name="adj2" fmla="val 156857"/>
                      </a:avLst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7-F2D5-4146-A1C0-376A3404811F}"/>
                </c:ext>
              </c:extLst>
            </c:dLbl>
            <c:dLbl>
              <c:idx val="4"/>
              <c:layout>
                <c:manualLayout>
                  <c:x val="0.34858172243466373"/>
                  <c:y val="-1.1178823708129731E-2"/>
                </c:manualLayout>
              </c:layout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  <a:extLst>
                    <a:ext uri="{C807C97D-BFC1-408E-A445-0C87EB9F89A2}">
                      <ask:lineSketchStyleProps xmlns:ask="http://schemas.microsoft.com/office/drawing/2018/sketchyshapes" sd="0"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sk:type/>
                      </ask:lineSketchStyleProps>
                    </a:ext>
                  </a:extLst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rgbClr val="FF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-143210"/>
                        <a:gd name="adj2" fmla="val 125959"/>
                      </a:avLst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9-F2D5-4146-A1C0-376A3404811F}"/>
                </c:ext>
              </c:extLst>
            </c:dLbl>
            <c:dLbl>
              <c:idx val="5"/>
              <c:layout>
                <c:manualLayout>
                  <c:x val="4.8291283308795077E-2"/>
                  <c:y val="-0.10931361875585488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F2D5-4146-A1C0-376A3404811F}"/>
                </c:ext>
              </c:extLst>
            </c:dLbl>
            <c:dLbl>
              <c:idx val="6"/>
              <c:layout>
                <c:manualLayout>
                  <c:x val="-1.104673657975268E-2"/>
                  <c:y val="8.1860900827910976E-2"/>
                </c:manualLayout>
              </c:layout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  <a:extLst>
                    <a:ext uri="{C807C97D-BFC1-408E-A445-0C87EB9F89A2}">
                      <ask:lineSketchStyleProps xmlns:ask="http://schemas.microsoft.com/office/drawing/2018/sketchyshapes" sd="0"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sk:type/>
                      </ask:lineSketchStyleProps>
                    </a:ext>
                  </a:extLst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rgbClr val="FF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65508"/>
                        <a:gd name="adj2" fmla="val -180741"/>
                      </a:avLst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D-F2D5-4146-A1C0-376A3404811F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Sheet1!$A$3:$A$9</c:f>
              <c:strCache>
                <c:ptCount val="7"/>
                <c:pt idx="0">
                  <c:v>Information Not Held</c:v>
                </c:pt>
                <c:pt idx="1">
                  <c:v>Information Partially Held</c:v>
                </c:pt>
                <c:pt idx="2">
                  <c:v>Information Partially Held, Partially Exempted</c:v>
                </c:pt>
                <c:pt idx="3">
                  <c:v>Fully Exempted</c:v>
                </c:pt>
                <c:pt idx="4">
                  <c:v>Partially Exempted</c:v>
                </c:pt>
                <c:pt idx="5">
                  <c:v>No Exemption Applied</c:v>
                </c:pt>
                <c:pt idx="6">
                  <c:v>Closed for Clarification</c:v>
                </c:pt>
              </c:strCache>
            </c:strRef>
          </c:cat>
          <c:val>
            <c:numRef>
              <c:f>Sheet1!$B$3:$B$9</c:f>
              <c:numCache>
                <c:formatCode>General</c:formatCode>
                <c:ptCount val="7"/>
                <c:pt idx="0">
                  <c:v>61</c:v>
                </c:pt>
                <c:pt idx="1">
                  <c:v>97</c:v>
                </c:pt>
                <c:pt idx="2">
                  <c:v>11</c:v>
                </c:pt>
                <c:pt idx="3">
                  <c:v>83</c:v>
                </c:pt>
                <c:pt idx="4">
                  <c:v>159</c:v>
                </c:pt>
                <c:pt idx="5">
                  <c:v>1070</c:v>
                </c:pt>
                <c:pt idx="6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F2D5-4146-A1C0-376A3404811F}"/>
            </c:ext>
          </c:extLst>
        </c:ser>
        <c:ser>
          <c:idx val="1"/>
          <c:order val="1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0-F2D5-4146-A1C0-376A3404811F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2-F2D5-4146-A1C0-376A3404811F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4-F2D5-4146-A1C0-376A3404811F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6-F2D5-4146-A1C0-376A3404811F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8-F2D5-4146-A1C0-376A3404811F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A-F2D5-4146-A1C0-376A3404811F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C-F2D5-4146-A1C0-376A3404811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Sheet1!$A$3:$A$9</c:f>
              <c:strCache>
                <c:ptCount val="7"/>
                <c:pt idx="0">
                  <c:v>Information Not Held</c:v>
                </c:pt>
                <c:pt idx="1">
                  <c:v>Information Partially Held</c:v>
                </c:pt>
                <c:pt idx="2">
                  <c:v>Information Partially Held, Partially Exempted</c:v>
                </c:pt>
                <c:pt idx="3">
                  <c:v>Fully Exempted</c:v>
                </c:pt>
                <c:pt idx="4">
                  <c:v>Partially Exempted</c:v>
                </c:pt>
                <c:pt idx="5">
                  <c:v>No Exemption Applied</c:v>
                </c:pt>
                <c:pt idx="6">
                  <c:v>Closed for Clarification</c:v>
                </c:pt>
              </c:strCache>
            </c:strRef>
          </c:cat>
          <c:val>
            <c:numRef>
              <c:f>Sheet1!$C$3:$C$9</c:f>
              <c:numCache>
                <c:formatCode>0%</c:formatCode>
                <c:ptCount val="7"/>
                <c:pt idx="0">
                  <c:v>0.04</c:v>
                </c:pt>
                <c:pt idx="1">
                  <c:v>0.06</c:v>
                </c:pt>
                <c:pt idx="2">
                  <c:v>0.01</c:v>
                </c:pt>
                <c:pt idx="3">
                  <c:v>0.06</c:v>
                </c:pt>
                <c:pt idx="4">
                  <c:v>0.11</c:v>
                </c:pt>
                <c:pt idx="5">
                  <c:v>0.71</c:v>
                </c:pt>
                <c:pt idx="6">
                  <c:v>0.01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D-F2D5-4146-A1C0-376A3404811F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  <a:scene3d>
      <a:camera prst="orthographicFront"/>
      <a:lightRig rig="threePt" dir="t"/>
    </a:scene3d>
    <a:sp3d>
      <a:bevelT w="3175000" h="0"/>
      <a:bevelB w="3175000" h="0"/>
    </a:sp3d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rgbClr val="C00000"/>
                </a:solidFill>
                <a:latin typeface="+mn-lt"/>
                <a:ea typeface="+mn-ea"/>
                <a:cs typeface="+mn-cs"/>
              </a:defRPr>
            </a:pPr>
            <a:r>
              <a:rPr lang="en-GB" baseline="0">
                <a:solidFill>
                  <a:srgbClr val="C00000"/>
                </a:solidFill>
              </a:rPr>
              <a:t>EIR Status - Financial Year 2022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rgbClr val="C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227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8785358622904019"/>
          <c:y val="0.12661557377159563"/>
          <c:w val="0.62041903804914733"/>
          <c:h val="0.80497327521078854"/>
        </c:manualLayout>
      </c:layout>
      <c:pie3DChart>
        <c:varyColors val="1"/>
        <c:ser>
          <c:idx val="0"/>
          <c:order val="0"/>
          <c:spPr>
            <a:ln>
              <a:solidFill>
                <a:schemeClr val="bg1"/>
              </a:solidFill>
            </a:ln>
            <a:scene3d>
              <a:camera prst="orthographicFront"/>
              <a:lightRig rig="threePt" dir="t"/>
            </a:scene3d>
            <a:sp3d prstMaterial="metal">
              <a:bevelT w="3175000" h="635000"/>
              <a:bevelB w="3175000" h="0"/>
              <a:contourClr>
                <a:srgbClr val="000000"/>
              </a:contourClr>
            </a:sp3d>
          </c:spPr>
          <c:dPt>
            <c:idx val="0"/>
            <c:bubble3D val="0"/>
            <c:spPr>
              <a:solidFill>
                <a:srgbClr val="FFFF00"/>
              </a:solidFill>
              <a:ln>
                <a:solidFill>
                  <a:schemeClr val="bg1"/>
                </a:solidFill>
              </a:ln>
              <a:effectLst/>
              <a:scene3d>
                <a:camera prst="orthographicFront"/>
                <a:lightRig rig="threePt" dir="t"/>
              </a:scene3d>
              <a:sp3d prstMaterial="metal">
                <a:bevelT w="3175000" h="635000"/>
                <a:bevelB w="3175000" h="0"/>
                <a:contourClr>
                  <a:schemeClr val="bg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7F9D-4C0A-8413-5B12D706EBF4}"/>
              </c:ext>
            </c:extLst>
          </c:dPt>
          <c:dPt>
            <c:idx val="1"/>
            <c:bubble3D val="0"/>
            <c:spPr>
              <a:solidFill>
                <a:srgbClr val="FFC000"/>
              </a:solidFill>
              <a:ln>
                <a:solidFill>
                  <a:schemeClr val="bg1"/>
                </a:solidFill>
              </a:ln>
              <a:effectLst/>
              <a:scene3d>
                <a:camera prst="orthographicFront"/>
                <a:lightRig rig="threePt" dir="t"/>
              </a:scene3d>
              <a:sp3d prstMaterial="metal">
                <a:bevelT w="3175000" h="635000"/>
                <a:bevelB w="3175000" h="0"/>
                <a:contourClr>
                  <a:schemeClr val="bg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7F9D-4C0A-8413-5B12D706EBF4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solidFill>
                  <a:schemeClr val="bg1"/>
                </a:solidFill>
              </a:ln>
              <a:effectLst/>
              <a:scene3d>
                <a:camera prst="orthographicFront"/>
                <a:lightRig rig="threePt" dir="t"/>
              </a:scene3d>
              <a:sp3d prstMaterial="metal">
                <a:bevelT w="3175000" h="635000"/>
                <a:bevelB w="3175000" h="0"/>
                <a:contourClr>
                  <a:schemeClr val="bg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7F9D-4C0A-8413-5B12D706EBF4}"/>
              </c:ext>
            </c:extLst>
          </c:dPt>
          <c:dPt>
            <c:idx val="3"/>
            <c:bubble3D val="0"/>
            <c:spPr>
              <a:solidFill>
                <a:srgbClr val="FF0000"/>
              </a:solidFill>
              <a:ln>
                <a:solidFill>
                  <a:schemeClr val="bg1"/>
                </a:solidFill>
              </a:ln>
              <a:effectLst/>
              <a:scene3d>
                <a:camera prst="orthographicFront"/>
                <a:lightRig rig="threePt" dir="t"/>
              </a:scene3d>
              <a:sp3d prstMaterial="metal">
                <a:bevelT w="3175000" h="635000"/>
                <a:bevelB w="3175000" h="0"/>
                <a:contourClr>
                  <a:schemeClr val="bg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7F9D-4C0A-8413-5B12D706EBF4}"/>
              </c:ext>
            </c:extLst>
          </c:dPt>
          <c:dPt>
            <c:idx val="4"/>
            <c:bubble3D val="0"/>
            <c:spPr>
              <a:solidFill>
                <a:srgbClr val="00B0F0"/>
              </a:solidFill>
              <a:ln>
                <a:solidFill>
                  <a:schemeClr val="bg1"/>
                </a:solidFill>
              </a:ln>
              <a:effectLst/>
              <a:scene3d>
                <a:camera prst="orthographicFront"/>
                <a:lightRig rig="threePt" dir="t"/>
              </a:scene3d>
              <a:sp3d prstMaterial="metal">
                <a:bevelT w="3175000" h="635000"/>
                <a:bevelB w="3175000" h="0"/>
                <a:contourClr>
                  <a:schemeClr val="bg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7F9D-4C0A-8413-5B12D706EBF4}"/>
              </c:ext>
            </c:extLst>
          </c:dPt>
          <c:dPt>
            <c:idx val="5"/>
            <c:bubble3D val="0"/>
            <c:spPr>
              <a:solidFill>
                <a:srgbClr val="92D050"/>
              </a:solidFill>
              <a:ln>
                <a:solidFill>
                  <a:schemeClr val="bg1"/>
                </a:solidFill>
              </a:ln>
              <a:effectLst/>
              <a:scene3d>
                <a:camera prst="orthographicFront"/>
                <a:lightRig rig="threePt" dir="t"/>
              </a:scene3d>
              <a:sp3d prstMaterial="metal">
                <a:bevelT w="3175000" h="635000"/>
                <a:bevelB w="3175000" h="0"/>
                <a:contourClr>
                  <a:schemeClr val="bg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7F9D-4C0A-8413-5B12D706EBF4}"/>
              </c:ext>
            </c:extLst>
          </c:dPt>
          <c:dPt>
            <c:idx val="6"/>
            <c:bubble3D val="0"/>
            <c:spPr>
              <a:solidFill>
                <a:srgbClr val="7030A0"/>
              </a:solidFill>
              <a:ln>
                <a:solidFill>
                  <a:schemeClr val="bg1"/>
                </a:solidFill>
              </a:ln>
              <a:effectLst/>
              <a:scene3d>
                <a:camera prst="orthographicFront"/>
                <a:lightRig rig="threePt" dir="t"/>
              </a:scene3d>
              <a:sp3d prstMaterial="metal">
                <a:bevelT w="3175000" h="635000"/>
                <a:bevelB w="3175000" h="0"/>
                <a:contourClr>
                  <a:schemeClr val="bg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7F9D-4C0A-8413-5B12D706EBF4}"/>
              </c:ext>
            </c:extLst>
          </c:dPt>
          <c:dLbls>
            <c:dLbl>
              <c:idx val="0"/>
              <c:layout>
                <c:manualLayout>
                  <c:x val="-6.5553143396507613E-2"/>
                  <c:y val="6.7948538752540505E-2"/>
                </c:manualLayout>
              </c:layout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  <a:extLst>
                    <a:ext uri="{C807C97D-BFC1-408E-A445-0C87EB9F89A2}">
                      <ask:lineSketchStyleProps xmlns:ask="http://schemas.microsoft.com/office/drawing/2018/sketchyshapes" sd="0"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sk:type/>
                      </ask:lineSketchStyleProps>
                    </a:ext>
                  </a:extLst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rgbClr val="FF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88033"/>
                        <a:gd name="adj2" fmla="val -166450"/>
                      </a:avLst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1-7F9D-4C0A-8413-5B12D706EBF4}"/>
                </c:ext>
              </c:extLst>
            </c:dLbl>
            <c:dLbl>
              <c:idx val="1"/>
              <c:layout>
                <c:manualLayout>
                  <c:x val="-6.3091482649842268E-2"/>
                  <c:y val="3.4202646099835187E-3"/>
                </c:manualLayout>
              </c:layout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  <a:extLst>
                    <a:ext uri="{C807C97D-BFC1-408E-A445-0C87EB9F89A2}">
                      <ask:lineSketchStyleProps xmlns:ask="http://schemas.microsoft.com/office/drawing/2018/sketchyshapes" sd="0"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sk:type/>
                      </ask:lineSketchStyleProps>
                    </a:ext>
                  </a:extLst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rgbClr val="FF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81508"/>
                        <a:gd name="adj2" fmla="val -61919"/>
                      </a:avLst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3-7F9D-4C0A-8413-5B12D706EBF4}"/>
                </c:ext>
              </c:extLst>
            </c:dLbl>
            <c:dLbl>
              <c:idx val="2"/>
              <c:layout>
                <c:manualLayout>
                  <c:x val="-1.1463970789140316E-2"/>
                  <c:y val="-0.10807793786591108"/>
                </c:manualLayout>
              </c:layout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  <a:extLst>
                    <a:ext uri="{C807C97D-BFC1-408E-A445-0C87EB9F89A2}">
                      <ask:lineSketchStyleProps xmlns:ask="http://schemas.microsoft.com/office/drawing/2018/sketchyshapes" sd="0"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sk:type/>
                      </ask:lineSketchStyleProps>
                    </a:ext>
                  </a:extLst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rgbClr val="FF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66589"/>
                        <a:gd name="adj2" fmla="val 23490"/>
                      </a:avLst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5-7F9D-4C0A-8413-5B12D706EBF4}"/>
                </c:ext>
              </c:extLst>
            </c:dLbl>
            <c:dLbl>
              <c:idx val="3"/>
              <c:layout>
                <c:manualLayout>
                  <c:x val="8.8231898457487773E-2"/>
                  <c:y val="-0.13273292877258555"/>
                </c:manualLayout>
              </c:layout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  <a:extLst>
                    <a:ext uri="{C807C97D-BFC1-408E-A445-0C87EB9F89A2}">
                      <ask:lineSketchStyleProps xmlns:ask="http://schemas.microsoft.com/office/drawing/2018/sketchyshapes" sd="0"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sk:type/>
                      </ask:lineSketchStyleProps>
                    </a:ext>
                  </a:extLst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rgbClr val="FF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26039"/>
                        <a:gd name="adj2" fmla="val 183439"/>
                      </a:avLst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7-7F9D-4C0A-8413-5B12D706EBF4}"/>
                </c:ext>
              </c:extLst>
            </c:dLbl>
            <c:dLbl>
              <c:idx val="4"/>
              <c:layout>
                <c:manualLayout>
                  <c:x val="0.17181907151196005"/>
                  <c:y val="-4.8596843176558671E-2"/>
                </c:manualLayout>
              </c:layout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  <a:extLst>
                    <a:ext uri="{C807C97D-BFC1-408E-A445-0C87EB9F89A2}">
                      <ask:lineSketchStyleProps xmlns:ask="http://schemas.microsoft.com/office/drawing/2018/sketchyshapes" sd="0"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sk:type/>
                      </ask:lineSketchStyleProps>
                    </a:ext>
                  </a:extLst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rgbClr val="FF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-16323"/>
                        <a:gd name="adj2" fmla="val 142159"/>
                      </a:avLst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9-7F9D-4C0A-8413-5B12D706EBF4}"/>
                </c:ext>
              </c:extLst>
            </c:dLbl>
            <c:dLbl>
              <c:idx val="5"/>
              <c:layout>
                <c:manualLayout>
                  <c:x val="3.6067750140993625E-4"/>
                  <c:y val="4.5243472323784055E-2"/>
                </c:manualLayout>
              </c:layout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  <a:extLst>
                    <a:ext uri="{C807C97D-BFC1-408E-A445-0C87EB9F89A2}">
                      <ask:lineSketchStyleProps xmlns:ask="http://schemas.microsoft.com/office/drawing/2018/sketchyshapes" sd="0"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sk:type/>
                      </ask:lineSketchStyleProps>
                    </a:ext>
                  </a:extLst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rgbClr val="FF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-70630"/>
                        <a:gd name="adj2" fmla="val -38690"/>
                      </a:avLst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B-7F9D-4C0A-8413-5B12D706EBF4}"/>
                </c:ext>
              </c:extLst>
            </c:dLbl>
            <c:dLbl>
              <c:idx val="6"/>
              <c:layout>
                <c:manualLayout>
                  <c:x val="9.9593905082591486E-3"/>
                  <c:y val="0.12742600350943817"/>
                </c:manualLayout>
              </c:layout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  <a:extLst>
                    <a:ext uri="{C807C97D-BFC1-408E-A445-0C87EB9F89A2}">
                      <ask:lineSketchStyleProps xmlns:ask="http://schemas.microsoft.com/office/drawing/2018/sketchyshapes" sd="0"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sk:type/>
                      </ask:lineSketchStyleProps>
                    </a:ext>
                  </a:extLst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rgbClr val="FF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49695"/>
                        <a:gd name="adj2" fmla="val -218683"/>
                      </a:avLst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D-7F9D-4C0A-8413-5B12D706EBF4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Sheet1!$A$3:$A$9</c:f>
              <c:strCache>
                <c:ptCount val="7"/>
                <c:pt idx="0">
                  <c:v>Information Not Held</c:v>
                </c:pt>
                <c:pt idx="1">
                  <c:v>Information Partially Held</c:v>
                </c:pt>
                <c:pt idx="2">
                  <c:v>Information Partially Held, Partially Exempted</c:v>
                </c:pt>
                <c:pt idx="3">
                  <c:v>Fully Exempted</c:v>
                </c:pt>
                <c:pt idx="4">
                  <c:v>Partially Exempted</c:v>
                </c:pt>
                <c:pt idx="5">
                  <c:v>No Exemption Applied</c:v>
                </c:pt>
                <c:pt idx="6">
                  <c:v>Closed for Clarification</c:v>
                </c:pt>
              </c:strCache>
            </c:strRef>
          </c:cat>
          <c:val>
            <c:numRef>
              <c:f>Sheet1!$B$3:$B$9</c:f>
              <c:numCache>
                <c:formatCode>General</c:formatCode>
                <c:ptCount val="7"/>
                <c:pt idx="0">
                  <c:v>7</c:v>
                </c:pt>
                <c:pt idx="1">
                  <c:v>7</c:v>
                </c:pt>
                <c:pt idx="2">
                  <c:v>1</c:v>
                </c:pt>
                <c:pt idx="3">
                  <c:v>13</c:v>
                </c:pt>
                <c:pt idx="4">
                  <c:v>19</c:v>
                </c:pt>
                <c:pt idx="5">
                  <c:v>79</c:v>
                </c:pt>
                <c:pt idx="6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7F9D-4C0A-8413-5B12D706EBF4}"/>
            </c:ext>
          </c:extLst>
        </c:ser>
        <c:ser>
          <c:idx val="1"/>
          <c:order val="1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0-7F9D-4C0A-8413-5B12D706EBF4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2-7F9D-4C0A-8413-5B12D706EBF4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4-7F9D-4C0A-8413-5B12D706EBF4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6-7F9D-4C0A-8413-5B12D706EBF4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8-7F9D-4C0A-8413-5B12D706EBF4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A-7F9D-4C0A-8413-5B12D706EBF4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C-7F9D-4C0A-8413-5B12D706EBF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Sheet1!$A$3:$A$9</c:f>
              <c:strCache>
                <c:ptCount val="7"/>
                <c:pt idx="0">
                  <c:v>Information Not Held</c:v>
                </c:pt>
                <c:pt idx="1">
                  <c:v>Information Partially Held</c:v>
                </c:pt>
                <c:pt idx="2">
                  <c:v>Information Partially Held, Partially Exempted</c:v>
                </c:pt>
                <c:pt idx="3">
                  <c:v>Fully Exempted</c:v>
                </c:pt>
                <c:pt idx="4">
                  <c:v>Partially Exempted</c:v>
                </c:pt>
                <c:pt idx="5">
                  <c:v>No Exemption Applied</c:v>
                </c:pt>
                <c:pt idx="6">
                  <c:v>Closed for Clarification</c:v>
                </c:pt>
              </c:strCache>
            </c:strRef>
          </c:cat>
          <c:val>
            <c:numRef>
              <c:f>Sheet1!$C$3:$C$9</c:f>
              <c:numCache>
                <c:formatCode>0%</c:formatCode>
                <c:ptCount val="7"/>
                <c:pt idx="0">
                  <c:v>0.05</c:v>
                </c:pt>
                <c:pt idx="1">
                  <c:v>0.05</c:v>
                </c:pt>
                <c:pt idx="2">
                  <c:v>0.01</c:v>
                </c:pt>
                <c:pt idx="3">
                  <c:v>0.1</c:v>
                </c:pt>
                <c:pt idx="4">
                  <c:v>0.15</c:v>
                </c:pt>
                <c:pt idx="5">
                  <c:v>0.62</c:v>
                </c:pt>
                <c:pt idx="6">
                  <c:v>0.02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D-7F9D-4C0A-8413-5B12D706EBF4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  <a:scene3d>
      <a:camera prst="orthographicFront"/>
      <a:lightRig rig="threePt" dir="t"/>
    </a:scene3d>
    <a:sp3d>
      <a:bevelT w="3175000" h="0"/>
      <a:bevelB w="3175000" h="0"/>
    </a:sp3d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544</Words>
  <Characters>3102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Borough of Greenwich</Company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Rhiannon Hesketh</dc:creator>
  <cp:keywords/>
  <dc:description/>
  <cp:lastModifiedBy>Karen Wise</cp:lastModifiedBy>
  <cp:revision>2</cp:revision>
  <cp:lastPrinted>2017-10-31T10:11:00Z</cp:lastPrinted>
  <dcterms:created xsi:type="dcterms:W3CDTF">2024-11-05T15:10:00Z</dcterms:created>
  <dcterms:modified xsi:type="dcterms:W3CDTF">2024-11-05T15:10:00Z</dcterms:modified>
</cp:coreProperties>
</file>