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33E6" w14:textId="6EBC363D" w:rsidR="00E066C2" w:rsidRPr="00E066C2" w:rsidRDefault="00E066C2" w:rsidP="00542024">
      <w:pPr>
        <w:pStyle w:val="Frontpageheader1"/>
        <w:rPr>
          <w:sz w:val="240"/>
          <w:szCs w:val="240"/>
          <w:highlight w:val="yellow"/>
        </w:rPr>
      </w:pPr>
    </w:p>
    <w:p w14:paraId="70091E58" w14:textId="2D05A961" w:rsidR="0046306A" w:rsidRDefault="00B21077" w:rsidP="00542024">
      <w:pPr>
        <w:pStyle w:val="Frontpageheader1"/>
      </w:pPr>
      <w:r w:rsidRPr="00B21077">
        <w:t xml:space="preserve">Royal Borough of Greenwich Pension Fund </w:t>
      </w:r>
    </w:p>
    <w:p w14:paraId="28DE08FC" w14:textId="22A7978E" w:rsidR="00542024" w:rsidRDefault="00DF4CD6" w:rsidP="00542024">
      <w:pPr>
        <w:pStyle w:val="Frontpageheader1"/>
      </w:pPr>
      <w:r>
        <w:t>D</w:t>
      </w:r>
      <w:r w:rsidR="002D4065">
        <w:t xml:space="preserve">eferred debt </w:t>
      </w:r>
      <w:r>
        <w:t xml:space="preserve">and debt spreading </w:t>
      </w:r>
      <w:r w:rsidR="00001DC8">
        <w:t>agreement</w:t>
      </w:r>
      <w:r w:rsidR="00001DC8" w:rsidRPr="00D12FC0">
        <w:t xml:space="preserve"> </w:t>
      </w:r>
      <w:r w:rsidR="00D12FC0">
        <w:t>policies</w:t>
      </w:r>
    </w:p>
    <w:p w14:paraId="690B7E7E" w14:textId="1697C046" w:rsidR="00542024" w:rsidRDefault="007E1A6F" w:rsidP="00542024">
      <w:pPr>
        <w:pStyle w:val="Frontpageheader1"/>
      </w:pPr>
      <w:r>
        <w:t>6</w:t>
      </w:r>
      <w:r w:rsidRPr="007E1A6F">
        <w:rPr>
          <w:vertAlign w:val="superscript"/>
        </w:rPr>
        <w:t>th</w:t>
      </w:r>
      <w:r>
        <w:t xml:space="preserve"> December 2021</w:t>
      </w:r>
    </w:p>
    <w:p w14:paraId="79008488" w14:textId="77777777" w:rsidR="00542024" w:rsidRDefault="00542024" w:rsidP="00542024">
      <w:pPr>
        <w:pStyle w:val="Frontpageheader1"/>
      </w:pPr>
    </w:p>
    <w:p w14:paraId="23E950AA" w14:textId="15CFB040" w:rsidR="00542024" w:rsidRPr="00E066C2" w:rsidRDefault="00E066C2" w:rsidP="00E066C2">
      <w:pPr>
        <w:pStyle w:val="BodyText"/>
        <w:pageBreakBefore/>
        <w:rPr>
          <w:rFonts w:ascii="Segoe UI Semibold" w:hAnsi="Segoe UI Semibold" w:cs="Segoe UI Semibold"/>
          <w:color w:val="0069B4" w:themeColor="text2"/>
          <w:sz w:val="36"/>
          <w:szCs w:val="36"/>
        </w:rPr>
      </w:pPr>
      <w:r w:rsidRPr="00E066C2">
        <w:rPr>
          <w:rFonts w:ascii="Segoe UI Semibold" w:hAnsi="Segoe UI Semibold" w:cs="Segoe UI Semibold"/>
          <w:color w:val="0069B4" w:themeColor="text2"/>
          <w:sz w:val="36"/>
          <w:szCs w:val="36"/>
        </w:rPr>
        <w:lastRenderedPageBreak/>
        <w:t>Contents</w:t>
      </w:r>
    </w:p>
    <w:p w14:paraId="60DC9030" w14:textId="69B55F2E" w:rsidR="00DF4CD6" w:rsidRDefault="00E066C2">
      <w:pPr>
        <w:pStyle w:val="TOC1"/>
        <w:tabs>
          <w:tab w:val="right" w:leader="dot" w:pos="9856"/>
        </w:tabs>
        <w:rPr>
          <w:rFonts w:asciiTheme="minorHAnsi" w:eastAsiaTheme="minorEastAsia" w:hAnsiTheme="minorHAnsi" w:cstheme="minorBidi"/>
          <w:noProof/>
          <w:sz w:val="22"/>
          <w:szCs w:val="22"/>
          <w:lang w:eastAsia="en-GB"/>
        </w:rPr>
      </w:pPr>
      <w:r>
        <w:fldChar w:fldCharType="begin"/>
      </w:r>
      <w:r>
        <w:instrText xml:space="preserve"> TOC \o "2-3" \h \z \t "Heading 1,1" </w:instrText>
      </w:r>
      <w:r>
        <w:fldChar w:fldCharType="separate"/>
      </w:r>
      <w:hyperlink w:anchor="_Toc63178011" w:history="1">
        <w:r w:rsidR="00DF4CD6" w:rsidRPr="00A0260F">
          <w:rPr>
            <w:rStyle w:val="Hyperlink"/>
            <w:noProof/>
          </w:rPr>
          <w:t>Introduction</w:t>
        </w:r>
        <w:r w:rsidR="00DF4CD6">
          <w:rPr>
            <w:noProof/>
            <w:webHidden/>
          </w:rPr>
          <w:tab/>
        </w:r>
        <w:r w:rsidR="00DF4CD6">
          <w:rPr>
            <w:noProof/>
            <w:webHidden/>
          </w:rPr>
          <w:fldChar w:fldCharType="begin"/>
        </w:r>
        <w:r w:rsidR="00DF4CD6">
          <w:rPr>
            <w:noProof/>
            <w:webHidden/>
          </w:rPr>
          <w:instrText xml:space="preserve"> PAGEREF _Toc63178011 \h </w:instrText>
        </w:r>
        <w:r w:rsidR="00DF4CD6">
          <w:rPr>
            <w:noProof/>
            <w:webHidden/>
          </w:rPr>
        </w:r>
        <w:r w:rsidR="00DF4CD6">
          <w:rPr>
            <w:noProof/>
            <w:webHidden/>
          </w:rPr>
          <w:fldChar w:fldCharType="separate"/>
        </w:r>
        <w:r w:rsidR="00DF4CD6">
          <w:rPr>
            <w:noProof/>
            <w:webHidden/>
          </w:rPr>
          <w:t>3</w:t>
        </w:r>
        <w:r w:rsidR="00DF4CD6">
          <w:rPr>
            <w:noProof/>
            <w:webHidden/>
          </w:rPr>
          <w:fldChar w:fldCharType="end"/>
        </w:r>
      </w:hyperlink>
    </w:p>
    <w:p w14:paraId="08946027" w14:textId="552541C5" w:rsidR="00DF4CD6" w:rsidRDefault="001C19A8">
      <w:pPr>
        <w:pStyle w:val="TOC1"/>
        <w:tabs>
          <w:tab w:val="right" w:leader="dot" w:pos="9856"/>
        </w:tabs>
        <w:rPr>
          <w:rFonts w:asciiTheme="minorHAnsi" w:eastAsiaTheme="minorEastAsia" w:hAnsiTheme="minorHAnsi" w:cstheme="minorBidi"/>
          <w:noProof/>
          <w:sz w:val="22"/>
          <w:szCs w:val="22"/>
          <w:lang w:eastAsia="en-GB"/>
        </w:rPr>
      </w:pPr>
      <w:hyperlink w:anchor="_Toc63178012" w:history="1">
        <w:r w:rsidR="00DF4CD6" w:rsidRPr="00A0260F">
          <w:rPr>
            <w:rStyle w:val="Hyperlink"/>
            <w:noProof/>
          </w:rPr>
          <w:t>Approach for exiting employers</w:t>
        </w:r>
        <w:r w:rsidR="00DF4CD6">
          <w:rPr>
            <w:noProof/>
            <w:webHidden/>
          </w:rPr>
          <w:tab/>
        </w:r>
        <w:r w:rsidR="00DF4CD6">
          <w:rPr>
            <w:noProof/>
            <w:webHidden/>
          </w:rPr>
          <w:fldChar w:fldCharType="begin"/>
        </w:r>
        <w:r w:rsidR="00DF4CD6">
          <w:rPr>
            <w:noProof/>
            <w:webHidden/>
          </w:rPr>
          <w:instrText xml:space="preserve"> PAGEREF _Toc63178012 \h </w:instrText>
        </w:r>
        <w:r w:rsidR="00DF4CD6">
          <w:rPr>
            <w:noProof/>
            <w:webHidden/>
          </w:rPr>
        </w:r>
        <w:r w:rsidR="00DF4CD6">
          <w:rPr>
            <w:noProof/>
            <w:webHidden/>
          </w:rPr>
          <w:fldChar w:fldCharType="separate"/>
        </w:r>
        <w:r w:rsidR="00DF4CD6">
          <w:rPr>
            <w:noProof/>
            <w:webHidden/>
          </w:rPr>
          <w:t>4</w:t>
        </w:r>
        <w:r w:rsidR="00DF4CD6">
          <w:rPr>
            <w:noProof/>
            <w:webHidden/>
          </w:rPr>
          <w:fldChar w:fldCharType="end"/>
        </w:r>
      </w:hyperlink>
    </w:p>
    <w:p w14:paraId="3F395C0F" w14:textId="4FC2EB90"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13" w:history="1">
        <w:r w:rsidR="00DF4CD6" w:rsidRPr="00A0260F">
          <w:rPr>
            <w:rStyle w:val="Hyperlink"/>
            <w:noProof/>
          </w:rPr>
          <w:t>Choosing a DDA or DSA</w:t>
        </w:r>
        <w:r w:rsidR="00DF4CD6">
          <w:rPr>
            <w:noProof/>
            <w:webHidden/>
          </w:rPr>
          <w:tab/>
        </w:r>
        <w:r w:rsidR="00DF4CD6">
          <w:rPr>
            <w:noProof/>
            <w:webHidden/>
          </w:rPr>
          <w:fldChar w:fldCharType="begin"/>
        </w:r>
        <w:r w:rsidR="00DF4CD6">
          <w:rPr>
            <w:noProof/>
            <w:webHidden/>
          </w:rPr>
          <w:instrText xml:space="preserve"> PAGEREF _Toc63178013 \h </w:instrText>
        </w:r>
        <w:r w:rsidR="00DF4CD6">
          <w:rPr>
            <w:noProof/>
            <w:webHidden/>
          </w:rPr>
        </w:r>
        <w:r w:rsidR="00DF4CD6">
          <w:rPr>
            <w:noProof/>
            <w:webHidden/>
          </w:rPr>
          <w:fldChar w:fldCharType="separate"/>
        </w:r>
        <w:r w:rsidR="00DF4CD6">
          <w:rPr>
            <w:noProof/>
            <w:webHidden/>
          </w:rPr>
          <w:t>4</w:t>
        </w:r>
        <w:r w:rsidR="00DF4CD6">
          <w:rPr>
            <w:noProof/>
            <w:webHidden/>
          </w:rPr>
          <w:fldChar w:fldCharType="end"/>
        </w:r>
      </w:hyperlink>
    </w:p>
    <w:p w14:paraId="168D8584" w14:textId="0F67105F" w:rsidR="00DF4CD6" w:rsidRDefault="001C19A8">
      <w:pPr>
        <w:pStyle w:val="TOC3"/>
        <w:rPr>
          <w:rFonts w:asciiTheme="minorHAnsi" w:eastAsiaTheme="minorEastAsia" w:hAnsiTheme="minorHAnsi" w:cstheme="minorBidi"/>
          <w:noProof/>
          <w:sz w:val="22"/>
          <w:szCs w:val="22"/>
          <w:lang w:eastAsia="en-GB"/>
        </w:rPr>
      </w:pPr>
      <w:hyperlink w:anchor="_Toc63178014" w:history="1">
        <w:r w:rsidR="00DF4CD6" w:rsidRPr="00A0260F">
          <w:rPr>
            <w:rStyle w:val="Hyperlink"/>
            <w:noProof/>
          </w:rPr>
          <w:t>Managing of costs</w:t>
        </w:r>
        <w:r w:rsidR="00DF4CD6">
          <w:rPr>
            <w:noProof/>
            <w:webHidden/>
          </w:rPr>
          <w:tab/>
        </w:r>
        <w:r w:rsidR="00DF4CD6">
          <w:rPr>
            <w:noProof/>
            <w:webHidden/>
          </w:rPr>
          <w:fldChar w:fldCharType="begin"/>
        </w:r>
        <w:r w:rsidR="00DF4CD6">
          <w:rPr>
            <w:noProof/>
            <w:webHidden/>
          </w:rPr>
          <w:instrText xml:space="preserve"> PAGEREF _Toc63178014 \h </w:instrText>
        </w:r>
        <w:r w:rsidR="00DF4CD6">
          <w:rPr>
            <w:noProof/>
            <w:webHidden/>
          </w:rPr>
        </w:r>
        <w:r w:rsidR="00DF4CD6">
          <w:rPr>
            <w:noProof/>
            <w:webHidden/>
          </w:rPr>
          <w:fldChar w:fldCharType="separate"/>
        </w:r>
        <w:r w:rsidR="00DF4CD6">
          <w:rPr>
            <w:noProof/>
            <w:webHidden/>
          </w:rPr>
          <w:t>5</w:t>
        </w:r>
        <w:r w:rsidR="00DF4CD6">
          <w:rPr>
            <w:noProof/>
            <w:webHidden/>
          </w:rPr>
          <w:fldChar w:fldCharType="end"/>
        </w:r>
      </w:hyperlink>
    </w:p>
    <w:p w14:paraId="4E47D92B" w14:textId="64366E8B" w:rsidR="00DF4CD6" w:rsidRDefault="001C19A8">
      <w:pPr>
        <w:pStyle w:val="TOC1"/>
        <w:tabs>
          <w:tab w:val="right" w:leader="dot" w:pos="9856"/>
        </w:tabs>
        <w:rPr>
          <w:rFonts w:asciiTheme="minorHAnsi" w:eastAsiaTheme="minorEastAsia" w:hAnsiTheme="minorHAnsi" w:cstheme="minorBidi"/>
          <w:noProof/>
          <w:sz w:val="22"/>
          <w:szCs w:val="22"/>
          <w:lang w:eastAsia="en-GB"/>
        </w:rPr>
      </w:pPr>
      <w:hyperlink w:anchor="_Toc63178015" w:history="1">
        <w:r w:rsidR="00DF4CD6" w:rsidRPr="00A0260F">
          <w:rPr>
            <w:rStyle w:val="Hyperlink"/>
            <w:noProof/>
          </w:rPr>
          <w:t>Deferred Debt Agreements (DDAs)</w:t>
        </w:r>
        <w:r w:rsidR="00DF4CD6">
          <w:rPr>
            <w:noProof/>
            <w:webHidden/>
          </w:rPr>
          <w:tab/>
        </w:r>
        <w:r w:rsidR="00DF4CD6">
          <w:rPr>
            <w:noProof/>
            <w:webHidden/>
          </w:rPr>
          <w:fldChar w:fldCharType="begin"/>
        </w:r>
        <w:r w:rsidR="00DF4CD6">
          <w:rPr>
            <w:noProof/>
            <w:webHidden/>
          </w:rPr>
          <w:instrText xml:space="preserve"> PAGEREF _Toc63178015 \h </w:instrText>
        </w:r>
        <w:r w:rsidR="00DF4CD6">
          <w:rPr>
            <w:noProof/>
            <w:webHidden/>
          </w:rPr>
        </w:r>
        <w:r w:rsidR="00DF4CD6">
          <w:rPr>
            <w:noProof/>
            <w:webHidden/>
          </w:rPr>
          <w:fldChar w:fldCharType="separate"/>
        </w:r>
        <w:r w:rsidR="00DF4CD6">
          <w:rPr>
            <w:noProof/>
            <w:webHidden/>
          </w:rPr>
          <w:t>6</w:t>
        </w:r>
        <w:r w:rsidR="00DF4CD6">
          <w:rPr>
            <w:noProof/>
            <w:webHidden/>
          </w:rPr>
          <w:fldChar w:fldCharType="end"/>
        </w:r>
      </w:hyperlink>
    </w:p>
    <w:p w14:paraId="356313A6" w14:textId="169F9643"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16" w:history="1">
        <w:r w:rsidR="00DF4CD6" w:rsidRPr="00A0260F">
          <w:rPr>
            <w:rStyle w:val="Hyperlink"/>
            <w:noProof/>
          </w:rPr>
          <w:t>Entering into a DDA</w:t>
        </w:r>
        <w:r w:rsidR="00DF4CD6">
          <w:rPr>
            <w:noProof/>
            <w:webHidden/>
          </w:rPr>
          <w:tab/>
        </w:r>
        <w:r w:rsidR="00DF4CD6">
          <w:rPr>
            <w:noProof/>
            <w:webHidden/>
          </w:rPr>
          <w:fldChar w:fldCharType="begin"/>
        </w:r>
        <w:r w:rsidR="00DF4CD6">
          <w:rPr>
            <w:noProof/>
            <w:webHidden/>
          </w:rPr>
          <w:instrText xml:space="preserve"> PAGEREF _Toc63178016 \h </w:instrText>
        </w:r>
        <w:r w:rsidR="00DF4CD6">
          <w:rPr>
            <w:noProof/>
            <w:webHidden/>
          </w:rPr>
        </w:r>
        <w:r w:rsidR="00DF4CD6">
          <w:rPr>
            <w:noProof/>
            <w:webHidden/>
          </w:rPr>
          <w:fldChar w:fldCharType="separate"/>
        </w:r>
        <w:r w:rsidR="00DF4CD6">
          <w:rPr>
            <w:noProof/>
            <w:webHidden/>
          </w:rPr>
          <w:t>6</w:t>
        </w:r>
        <w:r w:rsidR="00DF4CD6">
          <w:rPr>
            <w:noProof/>
            <w:webHidden/>
          </w:rPr>
          <w:fldChar w:fldCharType="end"/>
        </w:r>
      </w:hyperlink>
    </w:p>
    <w:p w14:paraId="34F596A8" w14:textId="1DCD472E" w:rsidR="00DF4CD6" w:rsidRDefault="001C19A8">
      <w:pPr>
        <w:pStyle w:val="TOC3"/>
        <w:rPr>
          <w:rFonts w:asciiTheme="minorHAnsi" w:eastAsiaTheme="minorEastAsia" w:hAnsiTheme="minorHAnsi" w:cstheme="minorBidi"/>
          <w:noProof/>
          <w:sz w:val="22"/>
          <w:szCs w:val="22"/>
          <w:lang w:eastAsia="en-GB"/>
        </w:rPr>
      </w:pPr>
      <w:hyperlink w:anchor="_Toc63178017" w:history="1">
        <w:r w:rsidR="00DF4CD6" w:rsidRPr="00A0260F">
          <w:rPr>
            <w:rStyle w:val="Hyperlink"/>
            <w:noProof/>
          </w:rPr>
          <w:t>Information required from the employer</w:t>
        </w:r>
        <w:r w:rsidR="00DF4CD6">
          <w:rPr>
            <w:noProof/>
            <w:webHidden/>
          </w:rPr>
          <w:tab/>
        </w:r>
        <w:r w:rsidR="00DF4CD6">
          <w:rPr>
            <w:noProof/>
            <w:webHidden/>
          </w:rPr>
          <w:fldChar w:fldCharType="begin"/>
        </w:r>
        <w:r w:rsidR="00DF4CD6">
          <w:rPr>
            <w:noProof/>
            <w:webHidden/>
          </w:rPr>
          <w:instrText xml:space="preserve"> PAGEREF _Toc63178017 \h </w:instrText>
        </w:r>
        <w:r w:rsidR="00DF4CD6">
          <w:rPr>
            <w:noProof/>
            <w:webHidden/>
          </w:rPr>
        </w:r>
        <w:r w:rsidR="00DF4CD6">
          <w:rPr>
            <w:noProof/>
            <w:webHidden/>
          </w:rPr>
          <w:fldChar w:fldCharType="separate"/>
        </w:r>
        <w:r w:rsidR="00DF4CD6">
          <w:rPr>
            <w:noProof/>
            <w:webHidden/>
          </w:rPr>
          <w:t>6</w:t>
        </w:r>
        <w:r w:rsidR="00DF4CD6">
          <w:rPr>
            <w:noProof/>
            <w:webHidden/>
          </w:rPr>
          <w:fldChar w:fldCharType="end"/>
        </w:r>
      </w:hyperlink>
    </w:p>
    <w:p w14:paraId="4CA16C38" w14:textId="52D189EA" w:rsidR="00DF4CD6" w:rsidRDefault="001C19A8">
      <w:pPr>
        <w:pStyle w:val="TOC3"/>
        <w:rPr>
          <w:rFonts w:asciiTheme="minorHAnsi" w:eastAsiaTheme="minorEastAsia" w:hAnsiTheme="minorHAnsi" w:cstheme="minorBidi"/>
          <w:noProof/>
          <w:sz w:val="22"/>
          <w:szCs w:val="22"/>
          <w:lang w:eastAsia="en-GB"/>
        </w:rPr>
      </w:pPr>
      <w:hyperlink w:anchor="_Toc63178018" w:history="1">
        <w:r w:rsidR="00DF4CD6" w:rsidRPr="00A0260F">
          <w:rPr>
            <w:rStyle w:val="Hyperlink"/>
            <w:noProof/>
          </w:rPr>
          <w:t>Assessing the proposal</w:t>
        </w:r>
        <w:r w:rsidR="00DF4CD6">
          <w:rPr>
            <w:noProof/>
            <w:webHidden/>
          </w:rPr>
          <w:tab/>
        </w:r>
        <w:r w:rsidR="00DF4CD6">
          <w:rPr>
            <w:noProof/>
            <w:webHidden/>
          </w:rPr>
          <w:fldChar w:fldCharType="begin"/>
        </w:r>
        <w:r w:rsidR="00DF4CD6">
          <w:rPr>
            <w:noProof/>
            <w:webHidden/>
          </w:rPr>
          <w:instrText xml:space="preserve"> PAGEREF _Toc63178018 \h </w:instrText>
        </w:r>
        <w:r w:rsidR="00DF4CD6">
          <w:rPr>
            <w:noProof/>
            <w:webHidden/>
          </w:rPr>
        </w:r>
        <w:r w:rsidR="00DF4CD6">
          <w:rPr>
            <w:noProof/>
            <w:webHidden/>
          </w:rPr>
          <w:fldChar w:fldCharType="separate"/>
        </w:r>
        <w:r w:rsidR="00DF4CD6">
          <w:rPr>
            <w:noProof/>
            <w:webHidden/>
          </w:rPr>
          <w:t>6</w:t>
        </w:r>
        <w:r w:rsidR="00DF4CD6">
          <w:rPr>
            <w:noProof/>
            <w:webHidden/>
          </w:rPr>
          <w:fldChar w:fldCharType="end"/>
        </w:r>
      </w:hyperlink>
    </w:p>
    <w:p w14:paraId="67C17B3B" w14:textId="14513F0D" w:rsidR="00DF4CD6" w:rsidRDefault="001C19A8">
      <w:pPr>
        <w:pStyle w:val="TOC3"/>
        <w:rPr>
          <w:rFonts w:asciiTheme="minorHAnsi" w:eastAsiaTheme="minorEastAsia" w:hAnsiTheme="minorHAnsi" w:cstheme="minorBidi"/>
          <w:noProof/>
          <w:sz w:val="22"/>
          <w:szCs w:val="22"/>
          <w:lang w:eastAsia="en-GB"/>
        </w:rPr>
      </w:pPr>
      <w:hyperlink w:anchor="_Toc63178019" w:history="1">
        <w:r w:rsidR="00DF4CD6" w:rsidRPr="00A0260F">
          <w:rPr>
            <w:rStyle w:val="Hyperlink"/>
            <w:noProof/>
          </w:rPr>
          <w:t>Setting up a DDA</w:t>
        </w:r>
        <w:r w:rsidR="00DF4CD6">
          <w:rPr>
            <w:noProof/>
            <w:webHidden/>
          </w:rPr>
          <w:tab/>
        </w:r>
        <w:r w:rsidR="00DF4CD6">
          <w:rPr>
            <w:noProof/>
            <w:webHidden/>
          </w:rPr>
          <w:fldChar w:fldCharType="begin"/>
        </w:r>
        <w:r w:rsidR="00DF4CD6">
          <w:rPr>
            <w:noProof/>
            <w:webHidden/>
          </w:rPr>
          <w:instrText xml:space="preserve"> PAGEREF _Toc63178019 \h </w:instrText>
        </w:r>
        <w:r w:rsidR="00DF4CD6">
          <w:rPr>
            <w:noProof/>
            <w:webHidden/>
          </w:rPr>
        </w:r>
        <w:r w:rsidR="00DF4CD6">
          <w:rPr>
            <w:noProof/>
            <w:webHidden/>
          </w:rPr>
          <w:fldChar w:fldCharType="separate"/>
        </w:r>
        <w:r w:rsidR="00DF4CD6">
          <w:rPr>
            <w:noProof/>
            <w:webHidden/>
          </w:rPr>
          <w:t>7</w:t>
        </w:r>
        <w:r w:rsidR="00DF4CD6">
          <w:rPr>
            <w:noProof/>
            <w:webHidden/>
          </w:rPr>
          <w:fldChar w:fldCharType="end"/>
        </w:r>
      </w:hyperlink>
    </w:p>
    <w:p w14:paraId="04A16CF0" w14:textId="2237EF42"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20" w:history="1">
        <w:r w:rsidR="00DF4CD6" w:rsidRPr="00A0260F">
          <w:rPr>
            <w:rStyle w:val="Hyperlink"/>
            <w:noProof/>
          </w:rPr>
          <w:t>Monitoring a DDA</w:t>
        </w:r>
        <w:r w:rsidR="00DF4CD6">
          <w:rPr>
            <w:noProof/>
            <w:webHidden/>
          </w:rPr>
          <w:tab/>
        </w:r>
        <w:r w:rsidR="00DF4CD6">
          <w:rPr>
            <w:noProof/>
            <w:webHidden/>
          </w:rPr>
          <w:fldChar w:fldCharType="begin"/>
        </w:r>
        <w:r w:rsidR="00DF4CD6">
          <w:rPr>
            <w:noProof/>
            <w:webHidden/>
          </w:rPr>
          <w:instrText xml:space="preserve"> PAGEREF _Toc63178020 \h </w:instrText>
        </w:r>
        <w:r w:rsidR="00DF4CD6">
          <w:rPr>
            <w:noProof/>
            <w:webHidden/>
          </w:rPr>
        </w:r>
        <w:r w:rsidR="00DF4CD6">
          <w:rPr>
            <w:noProof/>
            <w:webHidden/>
          </w:rPr>
          <w:fldChar w:fldCharType="separate"/>
        </w:r>
        <w:r w:rsidR="00DF4CD6">
          <w:rPr>
            <w:noProof/>
            <w:webHidden/>
          </w:rPr>
          <w:t>8</w:t>
        </w:r>
        <w:r w:rsidR="00DF4CD6">
          <w:rPr>
            <w:noProof/>
            <w:webHidden/>
          </w:rPr>
          <w:fldChar w:fldCharType="end"/>
        </w:r>
      </w:hyperlink>
    </w:p>
    <w:p w14:paraId="3FDCF93F" w14:textId="6D00D42F"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21" w:history="1">
        <w:r w:rsidR="00DF4CD6" w:rsidRPr="00A0260F">
          <w:rPr>
            <w:rStyle w:val="Hyperlink"/>
            <w:noProof/>
          </w:rPr>
          <w:t>Terminating a DDA</w:t>
        </w:r>
        <w:r w:rsidR="00DF4CD6">
          <w:rPr>
            <w:noProof/>
            <w:webHidden/>
          </w:rPr>
          <w:tab/>
        </w:r>
        <w:r w:rsidR="00DF4CD6">
          <w:rPr>
            <w:noProof/>
            <w:webHidden/>
          </w:rPr>
          <w:fldChar w:fldCharType="begin"/>
        </w:r>
        <w:r w:rsidR="00DF4CD6">
          <w:rPr>
            <w:noProof/>
            <w:webHidden/>
          </w:rPr>
          <w:instrText xml:space="preserve"> PAGEREF _Toc63178021 \h </w:instrText>
        </w:r>
        <w:r w:rsidR="00DF4CD6">
          <w:rPr>
            <w:noProof/>
            <w:webHidden/>
          </w:rPr>
        </w:r>
        <w:r w:rsidR="00DF4CD6">
          <w:rPr>
            <w:noProof/>
            <w:webHidden/>
          </w:rPr>
          <w:fldChar w:fldCharType="separate"/>
        </w:r>
        <w:r w:rsidR="00DF4CD6">
          <w:rPr>
            <w:noProof/>
            <w:webHidden/>
          </w:rPr>
          <w:t>9</w:t>
        </w:r>
        <w:r w:rsidR="00DF4CD6">
          <w:rPr>
            <w:noProof/>
            <w:webHidden/>
          </w:rPr>
          <w:fldChar w:fldCharType="end"/>
        </w:r>
      </w:hyperlink>
    </w:p>
    <w:p w14:paraId="1B52B95C" w14:textId="69B02980" w:rsidR="00DF4CD6" w:rsidRDefault="001C19A8">
      <w:pPr>
        <w:pStyle w:val="TOC3"/>
        <w:rPr>
          <w:rFonts w:asciiTheme="minorHAnsi" w:eastAsiaTheme="minorEastAsia" w:hAnsiTheme="minorHAnsi" w:cstheme="minorBidi"/>
          <w:noProof/>
          <w:sz w:val="22"/>
          <w:szCs w:val="22"/>
          <w:lang w:eastAsia="en-GB"/>
        </w:rPr>
      </w:pPr>
      <w:hyperlink w:anchor="_Toc63178022" w:history="1">
        <w:r w:rsidR="00DF4CD6" w:rsidRPr="00A0260F">
          <w:rPr>
            <w:rStyle w:val="Hyperlink"/>
            <w:noProof/>
          </w:rPr>
          <w:t>Events that may terminate a DDA</w:t>
        </w:r>
        <w:r w:rsidR="00DF4CD6">
          <w:rPr>
            <w:noProof/>
            <w:webHidden/>
          </w:rPr>
          <w:tab/>
        </w:r>
        <w:r w:rsidR="00DF4CD6">
          <w:rPr>
            <w:noProof/>
            <w:webHidden/>
          </w:rPr>
          <w:fldChar w:fldCharType="begin"/>
        </w:r>
        <w:r w:rsidR="00DF4CD6">
          <w:rPr>
            <w:noProof/>
            <w:webHidden/>
          </w:rPr>
          <w:instrText xml:space="preserve"> PAGEREF _Toc63178022 \h </w:instrText>
        </w:r>
        <w:r w:rsidR="00DF4CD6">
          <w:rPr>
            <w:noProof/>
            <w:webHidden/>
          </w:rPr>
        </w:r>
        <w:r w:rsidR="00DF4CD6">
          <w:rPr>
            <w:noProof/>
            <w:webHidden/>
          </w:rPr>
          <w:fldChar w:fldCharType="separate"/>
        </w:r>
        <w:r w:rsidR="00DF4CD6">
          <w:rPr>
            <w:noProof/>
            <w:webHidden/>
          </w:rPr>
          <w:t>9</w:t>
        </w:r>
        <w:r w:rsidR="00DF4CD6">
          <w:rPr>
            <w:noProof/>
            <w:webHidden/>
          </w:rPr>
          <w:fldChar w:fldCharType="end"/>
        </w:r>
      </w:hyperlink>
    </w:p>
    <w:p w14:paraId="4F9DBF3C" w14:textId="272E7EE6" w:rsidR="00DF4CD6" w:rsidRDefault="001C19A8">
      <w:pPr>
        <w:pStyle w:val="TOC3"/>
        <w:rPr>
          <w:rFonts w:asciiTheme="minorHAnsi" w:eastAsiaTheme="minorEastAsia" w:hAnsiTheme="minorHAnsi" w:cstheme="minorBidi"/>
          <w:noProof/>
          <w:sz w:val="22"/>
          <w:szCs w:val="22"/>
          <w:lang w:eastAsia="en-GB"/>
        </w:rPr>
      </w:pPr>
      <w:hyperlink w:anchor="_Toc63178023" w:history="1">
        <w:r w:rsidR="00DF4CD6" w:rsidRPr="00A0260F">
          <w:rPr>
            <w:rStyle w:val="Hyperlink"/>
            <w:noProof/>
          </w:rPr>
          <w:t>Process of termination</w:t>
        </w:r>
        <w:r w:rsidR="00DF4CD6">
          <w:rPr>
            <w:noProof/>
            <w:webHidden/>
          </w:rPr>
          <w:tab/>
        </w:r>
        <w:r w:rsidR="00DF4CD6">
          <w:rPr>
            <w:noProof/>
            <w:webHidden/>
          </w:rPr>
          <w:fldChar w:fldCharType="begin"/>
        </w:r>
        <w:r w:rsidR="00DF4CD6">
          <w:rPr>
            <w:noProof/>
            <w:webHidden/>
          </w:rPr>
          <w:instrText xml:space="preserve"> PAGEREF _Toc63178023 \h </w:instrText>
        </w:r>
        <w:r w:rsidR="00DF4CD6">
          <w:rPr>
            <w:noProof/>
            <w:webHidden/>
          </w:rPr>
        </w:r>
        <w:r w:rsidR="00DF4CD6">
          <w:rPr>
            <w:noProof/>
            <w:webHidden/>
          </w:rPr>
          <w:fldChar w:fldCharType="separate"/>
        </w:r>
        <w:r w:rsidR="00DF4CD6">
          <w:rPr>
            <w:noProof/>
            <w:webHidden/>
          </w:rPr>
          <w:t>9</w:t>
        </w:r>
        <w:r w:rsidR="00DF4CD6">
          <w:rPr>
            <w:noProof/>
            <w:webHidden/>
          </w:rPr>
          <w:fldChar w:fldCharType="end"/>
        </w:r>
      </w:hyperlink>
    </w:p>
    <w:p w14:paraId="71BE3F34" w14:textId="2F00C89E" w:rsidR="00DF4CD6" w:rsidRDefault="001C19A8">
      <w:pPr>
        <w:pStyle w:val="TOC1"/>
        <w:tabs>
          <w:tab w:val="right" w:leader="dot" w:pos="9856"/>
        </w:tabs>
        <w:rPr>
          <w:rFonts w:asciiTheme="minorHAnsi" w:eastAsiaTheme="minorEastAsia" w:hAnsiTheme="minorHAnsi" w:cstheme="minorBidi"/>
          <w:noProof/>
          <w:sz w:val="22"/>
          <w:szCs w:val="22"/>
          <w:lang w:eastAsia="en-GB"/>
        </w:rPr>
      </w:pPr>
      <w:hyperlink w:anchor="_Toc63178024" w:history="1">
        <w:r w:rsidR="00DF4CD6" w:rsidRPr="00A0260F">
          <w:rPr>
            <w:rStyle w:val="Hyperlink"/>
            <w:noProof/>
          </w:rPr>
          <w:t>Debt Spreading Agreements (DSAs)</w:t>
        </w:r>
        <w:r w:rsidR="00DF4CD6">
          <w:rPr>
            <w:noProof/>
            <w:webHidden/>
          </w:rPr>
          <w:tab/>
        </w:r>
        <w:r w:rsidR="00DF4CD6">
          <w:rPr>
            <w:noProof/>
            <w:webHidden/>
          </w:rPr>
          <w:fldChar w:fldCharType="begin"/>
        </w:r>
        <w:r w:rsidR="00DF4CD6">
          <w:rPr>
            <w:noProof/>
            <w:webHidden/>
          </w:rPr>
          <w:instrText xml:space="preserve"> PAGEREF _Toc63178024 \h </w:instrText>
        </w:r>
        <w:r w:rsidR="00DF4CD6">
          <w:rPr>
            <w:noProof/>
            <w:webHidden/>
          </w:rPr>
        </w:r>
        <w:r w:rsidR="00DF4CD6">
          <w:rPr>
            <w:noProof/>
            <w:webHidden/>
          </w:rPr>
          <w:fldChar w:fldCharType="separate"/>
        </w:r>
        <w:r w:rsidR="00DF4CD6">
          <w:rPr>
            <w:noProof/>
            <w:webHidden/>
          </w:rPr>
          <w:t>10</w:t>
        </w:r>
        <w:r w:rsidR="00DF4CD6">
          <w:rPr>
            <w:noProof/>
            <w:webHidden/>
          </w:rPr>
          <w:fldChar w:fldCharType="end"/>
        </w:r>
      </w:hyperlink>
    </w:p>
    <w:p w14:paraId="2A8BA900" w14:textId="1B52040F"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25" w:history="1">
        <w:r w:rsidR="00DF4CD6" w:rsidRPr="00A0260F">
          <w:rPr>
            <w:rStyle w:val="Hyperlink"/>
            <w:noProof/>
          </w:rPr>
          <w:t>Entering a DSA</w:t>
        </w:r>
        <w:r w:rsidR="00DF4CD6">
          <w:rPr>
            <w:noProof/>
            <w:webHidden/>
          </w:rPr>
          <w:tab/>
        </w:r>
        <w:r w:rsidR="00DF4CD6">
          <w:rPr>
            <w:noProof/>
            <w:webHidden/>
          </w:rPr>
          <w:fldChar w:fldCharType="begin"/>
        </w:r>
        <w:r w:rsidR="00DF4CD6">
          <w:rPr>
            <w:noProof/>
            <w:webHidden/>
          </w:rPr>
          <w:instrText xml:space="preserve"> PAGEREF _Toc63178025 \h </w:instrText>
        </w:r>
        <w:r w:rsidR="00DF4CD6">
          <w:rPr>
            <w:noProof/>
            <w:webHidden/>
          </w:rPr>
        </w:r>
        <w:r w:rsidR="00DF4CD6">
          <w:rPr>
            <w:noProof/>
            <w:webHidden/>
          </w:rPr>
          <w:fldChar w:fldCharType="separate"/>
        </w:r>
        <w:r w:rsidR="00DF4CD6">
          <w:rPr>
            <w:noProof/>
            <w:webHidden/>
          </w:rPr>
          <w:t>10</w:t>
        </w:r>
        <w:r w:rsidR="00DF4CD6">
          <w:rPr>
            <w:noProof/>
            <w:webHidden/>
          </w:rPr>
          <w:fldChar w:fldCharType="end"/>
        </w:r>
      </w:hyperlink>
    </w:p>
    <w:p w14:paraId="4ADF2942" w14:textId="2D9D7DD3" w:rsidR="00DF4CD6" w:rsidRDefault="001C19A8">
      <w:pPr>
        <w:pStyle w:val="TOC3"/>
        <w:rPr>
          <w:rFonts w:asciiTheme="minorHAnsi" w:eastAsiaTheme="minorEastAsia" w:hAnsiTheme="minorHAnsi" w:cstheme="minorBidi"/>
          <w:noProof/>
          <w:sz w:val="22"/>
          <w:szCs w:val="22"/>
          <w:lang w:eastAsia="en-GB"/>
        </w:rPr>
      </w:pPr>
      <w:hyperlink w:anchor="_Toc63178026" w:history="1">
        <w:r w:rsidR="00DF4CD6" w:rsidRPr="00A0260F">
          <w:rPr>
            <w:rStyle w:val="Hyperlink"/>
            <w:noProof/>
          </w:rPr>
          <w:t>Information required from the employer</w:t>
        </w:r>
        <w:r w:rsidR="00DF4CD6">
          <w:rPr>
            <w:noProof/>
            <w:webHidden/>
          </w:rPr>
          <w:tab/>
        </w:r>
        <w:r w:rsidR="00DF4CD6">
          <w:rPr>
            <w:noProof/>
            <w:webHidden/>
          </w:rPr>
          <w:fldChar w:fldCharType="begin"/>
        </w:r>
        <w:r w:rsidR="00DF4CD6">
          <w:rPr>
            <w:noProof/>
            <w:webHidden/>
          </w:rPr>
          <w:instrText xml:space="preserve"> PAGEREF _Toc63178026 \h </w:instrText>
        </w:r>
        <w:r w:rsidR="00DF4CD6">
          <w:rPr>
            <w:noProof/>
            <w:webHidden/>
          </w:rPr>
        </w:r>
        <w:r w:rsidR="00DF4CD6">
          <w:rPr>
            <w:noProof/>
            <w:webHidden/>
          </w:rPr>
          <w:fldChar w:fldCharType="separate"/>
        </w:r>
        <w:r w:rsidR="00DF4CD6">
          <w:rPr>
            <w:noProof/>
            <w:webHidden/>
          </w:rPr>
          <w:t>10</w:t>
        </w:r>
        <w:r w:rsidR="00DF4CD6">
          <w:rPr>
            <w:noProof/>
            <w:webHidden/>
          </w:rPr>
          <w:fldChar w:fldCharType="end"/>
        </w:r>
      </w:hyperlink>
    </w:p>
    <w:p w14:paraId="6E3EB505" w14:textId="59473BBA" w:rsidR="00DF4CD6" w:rsidRDefault="001C19A8">
      <w:pPr>
        <w:pStyle w:val="TOC3"/>
        <w:rPr>
          <w:rFonts w:asciiTheme="minorHAnsi" w:eastAsiaTheme="minorEastAsia" w:hAnsiTheme="minorHAnsi" w:cstheme="minorBidi"/>
          <w:noProof/>
          <w:sz w:val="22"/>
          <w:szCs w:val="22"/>
          <w:lang w:eastAsia="en-GB"/>
        </w:rPr>
      </w:pPr>
      <w:hyperlink w:anchor="_Toc63178028" w:history="1">
        <w:r w:rsidR="00DF4CD6" w:rsidRPr="00A0260F">
          <w:rPr>
            <w:rStyle w:val="Hyperlink"/>
            <w:noProof/>
          </w:rPr>
          <w:t>Assessing the proposal</w:t>
        </w:r>
        <w:r w:rsidR="00DF4CD6">
          <w:rPr>
            <w:noProof/>
            <w:webHidden/>
          </w:rPr>
          <w:tab/>
        </w:r>
        <w:r w:rsidR="00DF4CD6">
          <w:rPr>
            <w:noProof/>
            <w:webHidden/>
          </w:rPr>
          <w:fldChar w:fldCharType="begin"/>
        </w:r>
        <w:r w:rsidR="00DF4CD6">
          <w:rPr>
            <w:noProof/>
            <w:webHidden/>
          </w:rPr>
          <w:instrText xml:space="preserve"> PAGEREF _Toc63178028 \h </w:instrText>
        </w:r>
        <w:r w:rsidR="00DF4CD6">
          <w:rPr>
            <w:noProof/>
            <w:webHidden/>
          </w:rPr>
        </w:r>
        <w:r w:rsidR="00DF4CD6">
          <w:rPr>
            <w:noProof/>
            <w:webHidden/>
          </w:rPr>
          <w:fldChar w:fldCharType="separate"/>
        </w:r>
        <w:r w:rsidR="00DF4CD6">
          <w:rPr>
            <w:noProof/>
            <w:webHidden/>
          </w:rPr>
          <w:t>10</w:t>
        </w:r>
        <w:r w:rsidR="00DF4CD6">
          <w:rPr>
            <w:noProof/>
            <w:webHidden/>
          </w:rPr>
          <w:fldChar w:fldCharType="end"/>
        </w:r>
      </w:hyperlink>
    </w:p>
    <w:p w14:paraId="76B37E2B" w14:textId="79128B6B" w:rsidR="00DF4CD6" w:rsidRDefault="001C19A8">
      <w:pPr>
        <w:pStyle w:val="TOC3"/>
        <w:rPr>
          <w:rFonts w:asciiTheme="minorHAnsi" w:eastAsiaTheme="minorEastAsia" w:hAnsiTheme="minorHAnsi" w:cstheme="minorBidi"/>
          <w:noProof/>
          <w:sz w:val="22"/>
          <w:szCs w:val="22"/>
          <w:lang w:eastAsia="en-GB"/>
        </w:rPr>
      </w:pPr>
      <w:hyperlink w:anchor="_Toc63178029" w:history="1">
        <w:r w:rsidR="00DF4CD6" w:rsidRPr="00A0260F">
          <w:rPr>
            <w:rStyle w:val="Hyperlink"/>
            <w:noProof/>
          </w:rPr>
          <w:t>Setting up a DSA</w:t>
        </w:r>
        <w:r w:rsidR="00DF4CD6">
          <w:rPr>
            <w:noProof/>
            <w:webHidden/>
          </w:rPr>
          <w:tab/>
        </w:r>
        <w:r w:rsidR="00DF4CD6">
          <w:rPr>
            <w:noProof/>
            <w:webHidden/>
          </w:rPr>
          <w:fldChar w:fldCharType="begin"/>
        </w:r>
        <w:r w:rsidR="00DF4CD6">
          <w:rPr>
            <w:noProof/>
            <w:webHidden/>
          </w:rPr>
          <w:instrText xml:space="preserve"> PAGEREF _Toc63178029 \h </w:instrText>
        </w:r>
        <w:r w:rsidR="00DF4CD6">
          <w:rPr>
            <w:noProof/>
            <w:webHidden/>
          </w:rPr>
        </w:r>
        <w:r w:rsidR="00DF4CD6">
          <w:rPr>
            <w:noProof/>
            <w:webHidden/>
          </w:rPr>
          <w:fldChar w:fldCharType="separate"/>
        </w:r>
        <w:r w:rsidR="00DF4CD6">
          <w:rPr>
            <w:noProof/>
            <w:webHidden/>
          </w:rPr>
          <w:t>11</w:t>
        </w:r>
        <w:r w:rsidR="00DF4CD6">
          <w:rPr>
            <w:noProof/>
            <w:webHidden/>
          </w:rPr>
          <w:fldChar w:fldCharType="end"/>
        </w:r>
      </w:hyperlink>
    </w:p>
    <w:p w14:paraId="5EFC337A" w14:textId="502B086D"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30" w:history="1">
        <w:r w:rsidR="00DF4CD6" w:rsidRPr="00A0260F">
          <w:rPr>
            <w:rStyle w:val="Hyperlink"/>
            <w:noProof/>
          </w:rPr>
          <w:t>Monitoring a DSA</w:t>
        </w:r>
        <w:r w:rsidR="00DF4CD6">
          <w:rPr>
            <w:noProof/>
            <w:webHidden/>
          </w:rPr>
          <w:tab/>
        </w:r>
        <w:r w:rsidR="00DF4CD6">
          <w:rPr>
            <w:noProof/>
            <w:webHidden/>
          </w:rPr>
          <w:fldChar w:fldCharType="begin"/>
        </w:r>
        <w:r w:rsidR="00DF4CD6">
          <w:rPr>
            <w:noProof/>
            <w:webHidden/>
          </w:rPr>
          <w:instrText xml:space="preserve"> PAGEREF _Toc63178030 \h </w:instrText>
        </w:r>
        <w:r w:rsidR="00DF4CD6">
          <w:rPr>
            <w:noProof/>
            <w:webHidden/>
          </w:rPr>
        </w:r>
        <w:r w:rsidR="00DF4CD6">
          <w:rPr>
            <w:noProof/>
            <w:webHidden/>
          </w:rPr>
          <w:fldChar w:fldCharType="separate"/>
        </w:r>
        <w:r w:rsidR="00DF4CD6">
          <w:rPr>
            <w:noProof/>
            <w:webHidden/>
          </w:rPr>
          <w:t>11</w:t>
        </w:r>
        <w:r w:rsidR="00DF4CD6">
          <w:rPr>
            <w:noProof/>
            <w:webHidden/>
          </w:rPr>
          <w:fldChar w:fldCharType="end"/>
        </w:r>
      </w:hyperlink>
    </w:p>
    <w:p w14:paraId="0C4FB2E7" w14:textId="6F9B1851" w:rsidR="00DF4CD6" w:rsidRDefault="001C19A8">
      <w:pPr>
        <w:pStyle w:val="TOC2"/>
        <w:tabs>
          <w:tab w:val="right" w:leader="dot" w:pos="9856"/>
        </w:tabs>
        <w:rPr>
          <w:rFonts w:asciiTheme="minorHAnsi" w:eastAsiaTheme="minorEastAsia" w:hAnsiTheme="minorHAnsi" w:cstheme="minorBidi"/>
          <w:noProof/>
          <w:sz w:val="22"/>
          <w:szCs w:val="22"/>
          <w:lang w:eastAsia="en-GB"/>
        </w:rPr>
      </w:pPr>
      <w:hyperlink w:anchor="_Toc63178031" w:history="1">
        <w:r w:rsidR="00DF4CD6" w:rsidRPr="00A0260F">
          <w:rPr>
            <w:rStyle w:val="Hyperlink"/>
            <w:noProof/>
          </w:rPr>
          <w:t>Terminating a DSA</w:t>
        </w:r>
        <w:r w:rsidR="00DF4CD6">
          <w:rPr>
            <w:noProof/>
            <w:webHidden/>
          </w:rPr>
          <w:tab/>
        </w:r>
        <w:r w:rsidR="00DF4CD6">
          <w:rPr>
            <w:noProof/>
            <w:webHidden/>
          </w:rPr>
          <w:fldChar w:fldCharType="begin"/>
        </w:r>
        <w:r w:rsidR="00DF4CD6">
          <w:rPr>
            <w:noProof/>
            <w:webHidden/>
          </w:rPr>
          <w:instrText xml:space="preserve"> PAGEREF _Toc63178031 \h </w:instrText>
        </w:r>
        <w:r w:rsidR="00DF4CD6">
          <w:rPr>
            <w:noProof/>
            <w:webHidden/>
          </w:rPr>
        </w:r>
        <w:r w:rsidR="00DF4CD6">
          <w:rPr>
            <w:noProof/>
            <w:webHidden/>
          </w:rPr>
          <w:fldChar w:fldCharType="separate"/>
        </w:r>
        <w:r w:rsidR="00DF4CD6">
          <w:rPr>
            <w:noProof/>
            <w:webHidden/>
          </w:rPr>
          <w:t>12</w:t>
        </w:r>
        <w:r w:rsidR="00DF4CD6">
          <w:rPr>
            <w:noProof/>
            <w:webHidden/>
          </w:rPr>
          <w:fldChar w:fldCharType="end"/>
        </w:r>
      </w:hyperlink>
    </w:p>
    <w:p w14:paraId="688F0AC0" w14:textId="309B7676" w:rsidR="00DF4CD6" w:rsidRDefault="001C19A8">
      <w:pPr>
        <w:pStyle w:val="TOC3"/>
        <w:rPr>
          <w:rFonts w:asciiTheme="minorHAnsi" w:eastAsiaTheme="minorEastAsia" w:hAnsiTheme="minorHAnsi" w:cstheme="minorBidi"/>
          <w:noProof/>
          <w:sz w:val="22"/>
          <w:szCs w:val="22"/>
          <w:lang w:eastAsia="en-GB"/>
        </w:rPr>
      </w:pPr>
      <w:hyperlink w:anchor="_Toc63178032" w:history="1">
        <w:r w:rsidR="00DF4CD6" w:rsidRPr="00A0260F">
          <w:rPr>
            <w:rStyle w:val="Hyperlink"/>
            <w:noProof/>
          </w:rPr>
          <w:t>Events that may terminate a DSA</w:t>
        </w:r>
        <w:r w:rsidR="00DF4CD6">
          <w:rPr>
            <w:noProof/>
            <w:webHidden/>
          </w:rPr>
          <w:tab/>
        </w:r>
        <w:r w:rsidR="00DF4CD6">
          <w:rPr>
            <w:noProof/>
            <w:webHidden/>
          </w:rPr>
          <w:fldChar w:fldCharType="begin"/>
        </w:r>
        <w:r w:rsidR="00DF4CD6">
          <w:rPr>
            <w:noProof/>
            <w:webHidden/>
          </w:rPr>
          <w:instrText xml:space="preserve"> PAGEREF _Toc63178032 \h </w:instrText>
        </w:r>
        <w:r w:rsidR="00DF4CD6">
          <w:rPr>
            <w:noProof/>
            <w:webHidden/>
          </w:rPr>
        </w:r>
        <w:r w:rsidR="00DF4CD6">
          <w:rPr>
            <w:noProof/>
            <w:webHidden/>
          </w:rPr>
          <w:fldChar w:fldCharType="separate"/>
        </w:r>
        <w:r w:rsidR="00DF4CD6">
          <w:rPr>
            <w:noProof/>
            <w:webHidden/>
          </w:rPr>
          <w:t>12</w:t>
        </w:r>
        <w:r w:rsidR="00DF4CD6">
          <w:rPr>
            <w:noProof/>
            <w:webHidden/>
          </w:rPr>
          <w:fldChar w:fldCharType="end"/>
        </w:r>
      </w:hyperlink>
    </w:p>
    <w:p w14:paraId="529C68DA" w14:textId="4665CA65" w:rsidR="00DF4CD6" w:rsidRDefault="001C19A8">
      <w:pPr>
        <w:pStyle w:val="TOC3"/>
        <w:rPr>
          <w:rFonts w:asciiTheme="minorHAnsi" w:eastAsiaTheme="minorEastAsia" w:hAnsiTheme="minorHAnsi" w:cstheme="minorBidi"/>
          <w:noProof/>
          <w:sz w:val="22"/>
          <w:szCs w:val="22"/>
          <w:lang w:eastAsia="en-GB"/>
        </w:rPr>
      </w:pPr>
      <w:hyperlink w:anchor="_Toc63178033" w:history="1">
        <w:r w:rsidR="00DF4CD6" w:rsidRPr="00A0260F">
          <w:rPr>
            <w:rStyle w:val="Hyperlink"/>
            <w:noProof/>
          </w:rPr>
          <w:t>Process of termination</w:t>
        </w:r>
        <w:r w:rsidR="00DF4CD6">
          <w:rPr>
            <w:noProof/>
            <w:webHidden/>
          </w:rPr>
          <w:tab/>
        </w:r>
        <w:r w:rsidR="00DF4CD6">
          <w:rPr>
            <w:noProof/>
            <w:webHidden/>
          </w:rPr>
          <w:fldChar w:fldCharType="begin"/>
        </w:r>
        <w:r w:rsidR="00DF4CD6">
          <w:rPr>
            <w:noProof/>
            <w:webHidden/>
          </w:rPr>
          <w:instrText xml:space="preserve"> PAGEREF _Toc63178033 \h </w:instrText>
        </w:r>
        <w:r w:rsidR="00DF4CD6">
          <w:rPr>
            <w:noProof/>
            <w:webHidden/>
          </w:rPr>
        </w:r>
        <w:r w:rsidR="00DF4CD6">
          <w:rPr>
            <w:noProof/>
            <w:webHidden/>
          </w:rPr>
          <w:fldChar w:fldCharType="separate"/>
        </w:r>
        <w:r w:rsidR="00DF4CD6">
          <w:rPr>
            <w:noProof/>
            <w:webHidden/>
          </w:rPr>
          <w:t>13</w:t>
        </w:r>
        <w:r w:rsidR="00DF4CD6">
          <w:rPr>
            <w:noProof/>
            <w:webHidden/>
          </w:rPr>
          <w:fldChar w:fldCharType="end"/>
        </w:r>
      </w:hyperlink>
    </w:p>
    <w:p w14:paraId="48C85BF4" w14:textId="25EF1A9C" w:rsidR="00542024" w:rsidRDefault="00E066C2" w:rsidP="00542024">
      <w:pPr>
        <w:pStyle w:val="Heading1"/>
      </w:pPr>
      <w:r>
        <w:lastRenderedPageBreak/>
        <w:fldChar w:fldCharType="end"/>
      </w:r>
      <w:bookmarkStart w:id="0" w:name="_Toc63178011"/>
      <w:r w:rsidR="00542024">
        <w:t>Introduction</w:t>
      </w:r>
      <w:bookmarkEnd w:id="0"/>
    </w:p>
    <w:p w14:paraId="497C8372" w14:textId="52C60106" w:rsidR="00542024" w:rsidRPr="00542024" w:rsidRDefault="00542024" w:rsidP="00542024">
      <w:pPr>
        <w:pStyle w:val="BodyText"/>
      </w:pPr>
      <w:r>
        <w:t xml:space="preserve">This document sets out the </w:t>
      </w:r>
      <w:r w:rsidR="00B21077">
        <w:t xml:space="preserve">Royal Borough of Greenwich Pension Fund’s </w:t>
      </w:r>
      <w:r>
        <w:t xml:space="preserve">policy on </w:t>
      </w:r>
      <w:r w:rsidR="00BF5165">
        <w:t xml:space="preserve">deferred debt </w:t>
      </w:r>
      <w:r w:rsidR="00001DC8">
        <w:t xml:space="preserve">agreements </w:t>
      </w:r>
      <w:r w:rsidR="00BF5165">
        <w:t>(DDAs)</w:t>
      </w:r>
      <w:r>
        <w:t xml:space="preserve"> </w:t>
      </w:r>
      <w:r w:rsidR="00033B06">
        <w:t xml:space="preserve">and debt spreading agreements (DSAs) </w:t>
      </w:r>
      <w:r w:rsidR="00BF5165">
        <w:t>for exiting employers</w:t>
      </w:r>
      <w:r>
        <w:t xml:space="preserve">. </w:t>
      </w:r>
    </w:p>
    <w:p w14:paraId="48CB8428" w14:textId="191D4A33" w:rsidR="00542024" w:rsidRDefault="00B21077" w:rsidP="00542024">
      <w:pPr>
        <w:pStyle w:val="BodyText"/>
      </w:pPr>
      <w:r>
        <w:t>Royal Borough of Greenwich Pension Fund</w:t>
      </w:r>
      <w:r w:rsidR="00542024">
        <w:t xml:space="preserve"> (the Fund) is part of the Local Government Pension Scheme (LGPS), a defined benefit statutory scheme administered in accordance with the Local Government Pension Scheme Regulations 2013 (the Regulations) as amended.</w:t>
      </w:r>
    </w:p>
    <w:p w14:paraId="5D59EC82" w14:textId="1873063C" w:rsidR="00972365" w:rsidRDefault="004E243F" w:rsidP="00542024">
      <w:pPr>
        <w:pStyle w:val="BodyText"/>
      </w:pPr>
      <w:r>
        <w:t xml:space="preserve">When a Scheme employer becomes an </w:t>
      </w:r>
      <w:proofErr w:type="spellStart"/>
      <w:r>
        <w:t>exiting</w:t>
      </w:r>
      <w:proofErr w:type="spellEnd"/>
      <w:r>
        <w:t xml:space="preserve"> employer under Regulation 64, the Fund Actuary is</w:t>
      </w:r>
      <w:r w:rsidRPr="00585047">
        <w:t xml:space="preserve"> required to </w:t>
      </w:r>
      <w:r>
        <w:t xml:space="preserve">carry out a valuation to </w:t>
      </w:r>
      <w:r w:rsidRPr="00585047">
        <w:t>determine the exit payment due from the exiting employer to the Fund</w:t>
      </w:r>
      <w:r>
        <w:t>,</w:t>
      </w:r>
      <w:r w:rsidRPr="00585047">
        <w:t xml:space="preserve"> or the </w:t>
      </w:r>
      <w:r>
        <w:t>excess of assets in the Fund relating to that employer</w:t>
      </w:r>
      <w:r w:rsidRPr="00585047">
        <w:t xml:space="preserve">. </w:t>
      </w:r>
      <w:r>
        <w:t xml:space="preserve">Where an exit payment is due, the expectation is that the employer settles this debt immediately through a single cash payment. However, if </w:t>
      </w:r>
      <w:r w:rsidR="00972365">
        <w:t xml:space="preserve">the employer provides evidence that </w:t>
      </w:r>
      <w:r>
        <w:t xml:space="preserve">this is not possible, </w:t>
      </w:r>
      <w:r w:rsidR="00972365">
        <w:t>there are two alternatives available</w:t>
      </w:r>
      <w:r w:rsidR="00033B06">
        <w:t>:</w:t>
      </w:r>
      <w:r w:rsidR="00972365">
        <w:t xml:space="preserve"> </w:t>
      </w:r>
      <w:r>
        <w:t xml:space="preserve">Regulation 64(7A) enables the administering authority to enter into a deferred debt </w:t>
      </w:r>
      <w:r w:rsidR="00001DC8">
        <w:t>agreement</w:t>
      </w:r>
      <w:r w:rsidR="008D796E">
        <w:t xml:space="preserve"> </w:t>
      </w:r>
      <w:r>
        <w:t>with the employer</w:t>
      </w:r>
      <w:r w:rsidR="00972365">
        <w:t xml:space="preserve"> while </w:t>
      </w:r>
      <w:r w:rsidR="00826696">
        <w:t xml:space="preserve">Regulation </w:t>
      </w:r>
      <w:r w:rsidR="00BF47C6">
        <w:t xml:space="preserve">64B </w:t>
      </w:r>
      <w:r w:rsidR="008E73E7">
        <w:t xml:space="preserve">enables the administering authority to </w:t>
      </w:r>
      <w:proofErr w:type="gramStart"/>
      <w:r w:rsidR="008D796E">
        <w:t>enter into</w:t>
      </w:r>
      <w:proofErr w:type="gramEnd"/>
      <w:r w:rsidR="008D796E">
        <w:t xml:space="preserve"> a debt spreading </w:t>
      </w:r>
      <w:r w:rsidR="00001DC8">
        <w:t>agreement</w:t>
      </w:r>
      <w:r w:rsidR="00A338EC">
        <w:t>.</w:t>
      </w:r>
    </w:p>
    <w:p w14:paraId="049E4C0F" w14:textId="2F968EBF" w:rsidR="00D12FC0" w:rsidDel="00033B06" w:rsidRDefault="004E243F" w:rsidP="00542024">
      <w:pPr>
        <w:pStyle w:val="BodyText"/>
      </w:pPr>
      <w:r w:rsidDel="00033B06">
        <w:t>Under a DDA, the exiting employer becomes a deferred employer in the Fund (</w:t>
      </w:r>
      <w:proofErr w:type="gramStart"/>
      <w:r w:rsidDel="00033B06">
        <w:t>i.e.</w:t>
      </w:r>
      <w:proofErr w:type="gramEnd"/>
      <w:r w:rsidDel="00033B06">
        <w:t xml:space="preserve"> they remain as a Scheme employer but with no active members) and remains responsible for paying the secondary rate of contributions to fund their deficit. The secondary rate of contributions will be reviewed at each actuarial valuation until the termination of the agreement. </w:t>
      </w:r>
    </w:p>
    <w:p w14:paraId="0331C129" w14:textId="4EBA5A3C" w:rsidR="00033DFF" w:rsidRDefault="00E14CFE" w:rsidP="00542024">
      <w:pPr>
        <w:pStyle w:val="BodyText"/>
      </w:pPr>
      <w:r>
        <w:t xml:space="preserve">Under a </w:t>
      </w:r>
      <w:r w:rsidR="00164614">
        <w:t>DSA</w:t>
      </w:r>
      <w:r w:rsidR="00F146EC">
        <w:t>, the cessation debt is crystallised and spread</w:t>
      </w:r>
      <w:r w:rsidR="006C0F34">
        <w:t xml:space="preserve">, with </w:t>
      </w:r>
      <w:r w:rsidR="00C00878">
        <w:t>interest</w:t>
      </w:r>
      <w:r w:rsidR="006C0F34">
        <w:t>,</w:t>
      </w:r>
      <w:r w:rsidR="00F146EC">
        <w:t xml:space="preserve"> over a period deemed reasonable by th</w:t>
      </w:r>
      <w:r w:rsidR="000D73C8">
        <w:t xml:space="preserve">e administering authority having </w:t>
      </w:r>
      <w:r w:rsidR="00C96496">
        <w:t xml:space="preserve">regard to the views of </w:t>
      </w:r>
      <w:r w:rsidR="008D796E">
        <w:t>the Fund Actuary</w:t>
      </w:r>
      <w:r w:rsidR="00C96496">
        <w:t>.</w:t>
      </w:r>
      <w:r w:rsidR="002D4065">
        <w:t xml:space="preserve"> </w:t>
      </w:r>
    </w:p>
    <w:p w14:paraId="682CD45D" w14:textId="101E80FA" w:rsidR="00C630D4" w:rsidRDefault="00C630D4" w:rsidP="00542024">
      <w:pPr>
        <w:pStyle w:val="BodyText"/>
      </w:pPr>
      <w:r>
        <w:t xml:space="preserve">Whilst a DSA involves crystallising the cessation debt and the employer’s only obligation is to settle </w:t>
      </w:r>
      <w:r w:rsidR="00164614">
        <w:t>this set amount</w:t>
      </w:r>
      <w:r>
        <w:t xml:space="preserve">, in a DDA the employer remains in the Fund as </w:t>
      </w:r>
      <w:r w:rsidR="008D796E">
        <w:t xml:space="preserve">a </w:t>
      </w:r>
      <w:r>
        <w:t xml:space="preserve">Scheme employer and is exposed to the same risks (unless agreed otherwise with the administering authority) as active </w:t>
      </w:r>
      <w:r w:rsidR="00164614">
        <w:t>employers</w:t>
      </w:r>
      <w:r>
        <w:t xml:space="preserve"> in the Fund (</w:t>
      </w:r>
      <w:proofErr w:type="gramStart"/>
      <w:r w:rsidR="00093722">
        <w:t>e.g.</w:t>
      </w:r>
      <w:proofErr w:type="gramEnd"/>
      <w:r w:rsidR="00093722">
        <w:t xml:space="preserve"> </w:t>
      </w:r>
      <w:r>
        <w:t xml:space="preserve">investment, </w:t>
      </w:r>
      <w:r w:rsidR="00093722">
        <w:t>interest rate, inflation, longevity</w:t>
      </w:r>
      <w:r>
        <w:t xml:space="preserve"> and </w:t>
      </w:r>
      <w:r w:rsidR="00093722">
        <w:t>regulatory risks) meaning that the deficit will change over time.</w:t>
      </w:r>
      <w:r w:rsidR="00E1367A" w:rsidRPr="00E1367A">
        <w:t xml:space="preserve"> </w:t>
      </w:r>
    </w:p>
    <w:p w14:paraId="77C7DBCD" w14:textId="66EA9658" w:rsidR="009A0029" w:rsidRDefault="009A0029" w:rsidP="00542024">
      <w:pPr>
        <w:pStyle w:val="BodyText"/>
      </w:pPr>
      <w:r w:rsidRPr="00E71F06">
        <w:t xml:space="preserve">This policy document sets </w:t>
      </w:r>
      <w:r>
        <w:t xml:space="preserve">out the administering authority’s policy for </w:t>
      </w:r>
      <w:proofErr w:type="gramStart"/>
      <w:r>
        <w:t>entering into</w:t>
      </w:r>
      <w:proofErr w:type="gramEnd"/>
      <w:r>
        <w:t xml:space="preserve">, monitoring and </w:t>
      </w:r>
      <w:r w:rsidR="008D796E">
        <w:t>terminating</w:t>
      </w:r>
      <w:r>
        <w:t xml:space="preserve"> a DDA</w:t>
      </w:r>
      <w:r w:rsidR="0066147B">
        <w:t xml:space="preserve"> or DSA</w:t>
      </w:r>
      <w:r>
        <w:t>.</w:t>
      </w:r>
    </w:p>
    <w:p w14:paraId="1A43DD32" w14:textId="2542E2A8" w:rsidR="00FF6B62" w:rsidRDefault="00FF6B62" w:rsidP="00542024">
      <w:pPr>
        <w:pStyle w:val="BodyText"/>
      </w:pPr>
      <w:r>
        <w:t>Th</w:t>
      </w:r>
      <w:r w:rsidR="0066147B">
        <w:t>ese</w:t>
      </w:r>
      <w:r>
        <w:t xml:space="preserve"> polic</w:t>
      </w:r>
      <w:r w:rsidR="0066147B">
        <w:t>ies</w:t>
      </w:r>
      <w:r>
        <w:t xml:space="preserve"> ha</w:t>
      </w:r>
      <w:r w:rsidR="0066147B">
        <w:t>ve</w:t>
      </w:r>
      <w:r>
        <w:t xml:space="preserve"> been prepared by the administering authority following advice from the Fund </w:t>
      </w:r>
      <w:proofErr w:type="gramStart"/>
      <w:r>
        <w:t>Actuary, and</w:t>
      </w:r>
      <w:proofErr w:type="gramEnd"/>
      <w:r>
        <w:t xml:space="preserve"> following consultation with the Fund’s Scheme employers. </w:t>
      </w:r>
      <w:r w:rsidR="00684D5E">
        <w:t xml:space="preserve">In drafting this policy document, the administering authority has taken into consideration the statutory guidance on </w:t>
      </w:r>
      <w:r w:rsidR="00131048">
        <w:t xml:space="preserve">preparing </w:t>
      </w:r>
      <w:r w:rsidR="00654187">
        <w:t xml:space="preserve">and </w:t>
      </w:r>
      <w:r w:rsidR="00131048">
        <w:t xml:space="preserve">maintaining policies </w:t>
      </w:r>
      <w:r w:rsidR="00654187">
        <w:t xml:space="preserve">on </w:t>
      </w:r>
      <w:r w:rsidR="00131048">
        <w:t>e</w:t>
      </w:r>
      <w:r w:rsidR="00654187">
        <w:t xml:space="preserve">mployer </w:t>
      </w:r>
      <w:r w:rsidR="00131048">
        <w:t xml:space="preserve">exit payments </w:t>
      </w:r>
      <w:r w:rsidR="00654187">
        <w:t xml:space="preserve">and </w:t>
      </w:r>
      <w:r w:rsidR="00131048">
        <w:t xml:space="preserve">deferred debt agreements </w:t>
      </w:r>
      <w:r w:rsidR="00684D5E">
        <w:t>which was issued by the Ministry of Housing, Communities and Local Government, and the Scheme Advisory Board’s guide to employer flexibilities.</w:t>
      </w:r>
    </w:p>
    <w:p w14:paraId="304375D5" w14:textId="726E842F" w:rsidR="00B1038F" w:rsidRDefault="00C96496" w:rsidP="00B1038F">
      <w:pPr>
        <w:pStyle w:val="Heading1"/>
      </w:pPr>
      <w:bookmarkStart w:id="1" w:name="_Toc63178012"/>
      <w:bookmarkStart w:id="2" w:name="_Ref62053993"/>
      <w:r>
        <w:lastRenderedPageBreak/>
        <w:t xml:space="preserve">Approach </w:t>
      </w:r>
      <w:r w:rsidR="00900236">
        <w:t>for exiting employers</w:t>
      </w:r>
      <w:bookmarkEnd w:id="1"/>
    </w:p>
    <w:p w14:paraId="67BB5ACF" w14:textId="133C38C6" w:rsidR="003044DD" w:rsidRDefault="00C96496">
      <w:pPr>
        <w:pStyle w:val="BodyText"/>
      </w:pPr>
      <w:r>
        <w:t xml:space="preserve">In the event that an </w:t>
      </w:r>
      <w:r w:rsidR="00900236">
        <w:t xml:space="preserve">employer becomes an </w:t>
      </w:r>
      <w:proofErr w:type="spellStart"/>
      <w:r w:rsidR="00900236">
        <w:t>exiting</w:t>
      </w:r>
      <w:proofErr w:type="spellEnd"/>
      <w:r w:rsidR="00900236">
        <w:t xml:space="preserve"> </w:t>
      </w:r>
      <w:proofErr w:type="gramStart"/>
      <w:r w:rsidR="00900236">
        <w:t>employer</w:t>
      </w:r>
      <w:proofErr w:type="gramEnd"/>
      <w:r>
        <w:t xml:space="preserve"> </w:t>
      </w:r>
      <w:r w:rsidR="00900236">
        <w:t xml:space="preserve">and </w:t>
      </w:r>
      <w:r>
        <w:t>a</w:t>
      </w:r>
      <w:r w:rsidR="007B2114">
        <w:t>n exit payment</w:t>
      </w:r>
      <w:r>
        <w:t xml:space="preserve"> is identified</w:t>
      </w:r>
      <w:r w:rsidR="00900236">
        <w:t>,</w:t>
      </w:r>
      <w:r>
        <w:t xml:space="preserve"> the Fund should seek to receive </w:t>
      </w:r>
      <w:r w:rsidR="00900236">
        <w:t xml:space="preserve">a payment </w:t>
      </w:r>
      <w:r w:rsidR="00FC5B25">
        <w:t xml:space="preserve">from the exiting employer </w:t>
      </w:r>
      <w:r w:rsidR="00900236">
        <w:t xml:space="preserve">equal to </w:t>
      </w:r>
      <w:r>
        <w:t xml:space="preserve">the </w:t>
      </w:r>
      <w:r w:rsidR="007B2114">
        <w:t>exit payment</w:t>
      </w:r>
      <w:r>
        <w:t xml:space="preserve"> in full.</w:t>
      </w:r>
    </w:p>
    <w:p w14:paraId="31B3D79C" w14:textId="7B0E0643" w:rsidR="00FC5B25" w:rsidRDefault="00900236" w:rsidP="0090446E">
      <w:pPr>
        <w:pStyle w:val="BodyText"/>
      </w:pPr>
      <w:r w:rsidRPr="00B21077">
        <w:t xml:space="preserve">The administering authority makes the exiting employer aware an exit payment is due by providing a cessation valuation report produced by the Fund Actuary. </w:t>
      </w:r>
      <w:r w:rsidR="008D796E" w:rsidRPr="00B21077">
        <w:t xml:space="preserve">Details of the Fund’s cessation policy can be found in the Fund’s </w:t>
      </w:r>
      <w:r w:rsidR="6F840311" w:rsidRPr="00B21077">
        <w:t>Funding Strategy Statement (</w:t>
      </w:r>
      <w:r w:rsidR="008D796E" w:rsidRPr="00B21077">
        <w:t>FSS</w:t>
      </w:r>
      <w:r w:rsidR="0BF8113F" w:rsidRPr="00B21077">
        <w:t>)</w:t>
      </w:r>
      <w:r w:rsidR="008D796E" w:rsidRPr="00B21077">
        <w:t>.</w:t>
      </w:r>
    </w:p>
    <w:p w14:paraId="12075F9F" w14:textId="73A5877E" w:rsidR="00FC5B25" w:rsidRDefault="00001281" w:rsidP="0090446E">
      <w:pPr>
        <w:pStyle w:val="BodyText"/>
      </w:pPr>
      <w:r>
        <w:t>The default position is that the employer is required to make an exit payment in full immediately. However, i</w:t>
      </w:r>
      <w:r w:rsidR="00900236">
        <w:t xml:space="preserve">f required, the </w:t>
      </w:r>
      <w:r w:rsidR="005B723C">
        <w:t xml:space="preserve">exiting </w:t>
      </w:r>
      <w:r w:rsidR="00900236">
        <w:t xml:space="preserve">employer can </w:t>
      </w:r>
      <w:r w:rsidR="00FC5B25">
        <w:t xml:space="preserve">inform the administering authority, along with evidence, that </w:t>
      </w:r>
      <w:r w:rsidR="00232E77">
        <w:t>they are</w:t>
      </w:r>
      <w:r w:rsidR="00FC5B25">
        <w:t xml:space="preserve"> unable to</w:t>
      </w:r>
      <w:r w:rsidR="00DD5A88">
        <w:t xml:space="preserve"> </w:t>
      </w:r>
      <w:r w:rsidR="0027543D">
        <w:t>do so</w:t>
      </w:r>
      <w:r w:rsidR="008D796E">
        <w:t xml:space="preserve"> and may request to enter either a DDA or DSA</w:t>
      </w:r>
      <w:r w:rsidR="00FC5B25">
        <w:t>. If the administering authority is satisfied with the evidence provided</w:t>
      </w:r>
      <w:r w:rsidR="008D796E">
        <w:t>, the DDA or DSA process may proceed</w:t>
      </w:r>
      <w:r w:rsidR="00340B2F">
        <w:t>.</w:t>
      </w:r>
    </w:p>
    <w:p w14:paraId="7447E35B" w14:textId="01CE097D" w:rsidR="007B2114" w:rsidRDefault="007F77A5" w:rsidP="0090446E">
      <w:pPr>
        <w:pStyle w:val="BodyText"/>
      </w:pPr>
      <w:r w:rsidRPr="00FA2BFD">
        <w:t xml:space="preserve">Requests should be submitted </w:t>
      </w:r>
      <w:r w:rsidRPr="0044625C">
        <w:t xml:space="preserve">within </w:t>
      </w:r>
      <w:r w:rsidR="2604DDBD" w:rsidRPr="0044625C">
        <w:t>21</w:t>
      </w:r>
      <w:r w:rsidRPr="0044625C">
        <w:t xml:space="preserve"> days</w:t>
      </w:r>
      <w:r w:rsidRPr="00A94AD5">
        <w:t xml:space="preserve"> </w:t>
      </w:r>
      <w:r w:rsidRPr="001C1135">
        <w:t>of</w:t>
      </w:r>
      <w:r w:rsidRPr="00D532D2">
        <w:t xml:space="preserve"> </w:t>
      </w:r>
      <w:r w:rsidRPr="00FB3988">
        <w:t>receiving confirmation of the exit payment required</w:t>
      </w:r>
      <w:r w:rsidR="007B2114" w:rsidRPr="00663BC9">
        <w:t xml:space="preserve">, or otherwise the exit payment should be paid to the Fund in full </w:t>
      </w:r>
      <w:r w:rsidR="007B2114" w:rsidRPr="0044625C">
        <w:t xml:space="preserve">within </w:t>
      </w:r>
      <w:r w:rsidR="00FA2BFD" w:rsidRPr="0044625C">
        <w:t>28 days</w:t>
      </w:r>
      <w:r w:rsidRPr="00A94AD5">
        <w:t xml:space="preserve">. </w:t>
      </w:r>
      <w:r w:rsidR="000D32F6" w:rsidRPr="001C1135">
        <w:t>Evidence should be provided as soon as practically possible thereafte</w:t>
      </w:r>
      <w:r w:rsidR="000D32F6" w:rsidRPr="00D532D2">
        <w:t>r, and within a further 21 days of the submitting the request.</w:t>
      </w:r>
      <w:r w:rsidR="000D32F6">
        <w:t xml:space="preserve">   </w:t>
      </w:r>
    </w:p>
    <w:p w14:paraId="47F5DDC0" w14:textId="2615AAF9" w:rsidR="007F77A5" w:rsidRDefault="007F77A5" w:rsidP="0090446E">
      <w:pPr>
        <w:pStyle w:val="BodyText"/>
      </w:pPr>
      <w:r>
        <w:t>Where possible, the administering authority encourages employers who are approaching exit and suspect they will have a deficit to engage with the administering authority in advance</w:t>
      </w:r>
      <w:r w:rsidR="00DF7733">
        <w:t xml:space="preserve"> in order to understand the options that may be available</w:t>
      </w:r>
      <w:r>
        <w:t xml:space="preserve">. An indicative cessation report can be produced to form the basis of discussions. </w:t>
      </w:r>
    </w:p>
    <w:p w14:paraId="0119A65B" w14:textId="72BA75D5" w:rsidR="00001DC8" w:rsidRDefault="00172572" w:rsidP="0090446E">
      <w:pPr>
        <w:pStyle w:val="Heading2"/>
      </w:pPr>
      <w:bookmarkStart w:id="3" w:name="_Toc63178013"/>
      <w:r>
        <w:t xml:space="preserve">Choosing a </w:t>
      </w:r>
      <w:r w:rsidR="00001DC8">
        <w:t>DDA or DSA</w:t>
      </w:r>
      <w:bookmarkEnd w:id="3"/>
    </w:p>
    <w:p w14:paraId="3C460F74" w14:textId="00F28B86" w:rsidR="00E14CFE" w:rsidRDefault="00232E77" w:rsidP="0090446E">
      <w:pPr>
        <w:pStyle w:val="BodyText"/>
      </w:pPr>
      <w:r>
        <w:t xml:space="preserve">Consideration needs to be given as to which approach is the most appropriate in each case. </w:t>
      </w:r>
      <w:r w:rsidR="00001DC8">
        <w:t>A</w:t>
      </w:r>
      <w:r>
        <w:t xml:space="preserve"> DDA may be appropriate if:</w:t>
      </w:r>
    </w:p>
    <w:p w14:paraId="2DED01AE" w14:textId="0099074D" w:rsidR="008D2113" w:rsidRDefault="008D2113" w:rsidP="00D32868">
      <w:pPr>
        <w:pStyle w:val="List"/>
      </w:pPr>
      <w:r>
        <w:t xml:space="preserve">the employer temporarily has no active members but expects it may return to active employer status in future. However, please note that if the plan is for active members to join within three years then perhaps a suspension notice may be more </w:t>
      </w:r>
      <w:proofErr w:type="gramStart"/>
      <w:r>
        <w:t>appropriate;</w:t>
      </w:r>
      <w:proofErr w:type="gramEnd"/>
    </w:p>
    <w:p w14:paraId="7BBFE15E" w14:textId="126ECEEB" w:rsidR="00232E77" w:rsidRDefault="002D4065" w:rsidP="00D32868">
      <w:pPr>
        <w:pStyle w:val="List"/>
      </w:pPr>
      <w:r>
        <w:t>t</w:t>
      </w:r>
      <w:r w:rsidR="00232E77">
        <w:t xml:space="preserve">he employer wants to minimise costs </w:t>
      </w:r>
      <w:r w:rsidR="001D0F1A">
        <w:t>by potentially benefitting</w:t>
      </w:r>
      <w:r w:rsidR="008D2113">
        <w:t xml:space="preserve"> from</w:t>
      </w:r>
      <w:r w:rsidR="001D0F1A">
        <w:t xml:space="preserve"> the </w:t>
      </w:r>
      <w:r w:rsidR="00117A8F">
        <w:t xml:space="preserve">upside of the </w:t>
      </w:r>
      <w:r w:rsidR="001D0F1A">
        <w:t>pensions risks it would remain exposed to</w:t>
      </w:r>
      <w:r w:rsidR="008D2113">
        <w:t xml:space="preserve"> and therefore does not want to crystallise its debt by becoming an </w:t>
      </w:r>
      <w:proofErr w:type="spellStart"/>
      <w:r w:rsidR="008D2113">
        <w:t>exiting</w:t>
      </w:r>
      <w:proofErr w:type="spellEnd"/>
      <w:r w:rsidR="008D2113">
        <w:t xml:space="preserve"> employer</w:t>
      </w:r>
      <w:r w:rsidR="001D0F1A">
        <w:t>. In this case t</w:t>
      </w:r>
      <w:r w:rsidR="00232E77">
        <w:t>he administering authority may be willing to defer</w:t>
      </w:r>
      <w:r w:rsidR="00001DC8">
        <w:t xml:space="preserve"> </w:t>
      </w:r>
      <w:r w:rsidR="007B2114">
        <w:t>crystallisation of the cessation debt</w:t>
      </w:r>
      <w:r w:rsidR="00232E77">
        <w:t xml:space="preserve"> for an appropriately significant period of time</w:t>
      </w:r>
      <w:r w:rsidR="007B2114">
        <w:t>,</w:t>
      </w:r>
      <w:r w:rsidR="008D2113">
        <w:t xml:space="preserve"> subject to the strength of the employer’s covenant or security </w:t>
      </w:r>
      <w:proofErr w:type="gramStart"/>
      <w:r w:rsidR="008D2113">
        <w:t>provided</w:t>
      </w:r>
      <w:r w:rsidR="008C70CD">
        <w:t>;</w:t>
      </w:r>
      <w:proofErr w:type="gramEnd"/>
    </w:p>
    <w:p w14:paraId="35B2A2A3" w14:textId="30317B2C" w:rsidR="003B6755" w:rsidRDefault="002D4065" w:rsidP="00D32868">
      <w:pPr>
        <w:pStyle w:val="List"/>
      </w:pPr>
      <w:r>
        <w:t>i</w:t>
      </w:r>
      <w:r w:rsidR="00232E77">
        <w:t xml:space="preserve">nitial affordability </w:t>
      </w:r>
      <w:r w:rsidR="00001DC8">
        <w:t xml:space="preserve">of the full exit payment </w:t>
      </w:r>
      <w:r w:rsidR="00232E77">
        <w:t>is low but there is a prospect of increased affordability in the future</w:t>
      </w:r>
      <w:r w:rsidR="00001281">
        <w:t xml:space="preserve">, or the </w:t>
      </w:r>
      <w:r w:rsidR="007B2114">
        <w:t>payment</w:t>
      </w:r>
      <w:r w:rsidR="00001281">
        <w:t xml:space="preserve"> can only be afforded over a long period and therefore a DDA enables the position to be updated over time </w:t>
      </w:r>
      <w:proofErr w:type="gramStart"/>
      <w:r w:rsidR="00001281">
        <w:t>in light of</w:t>
      </w:r>
      <w:proofErr w:type="gramEnd"/>
      <w:r w:rsidR="00001281">
        <w:t xml:space="preserve"> changing funding positions; </w:t>
      </w:r>
      <w:r w:rsidR="008D2113">
        <w:t>and/or</w:t>
      </w:r>
    </w:p>
    <w:p w14:paraId="55125EBA" w14:textId="77C20F49" w:rsidR="00232E77" w:rsidRDefault="002D4065" w:rsidP="0090446E">
      <w:pPr>
        <w:pStyle w:val="List"/>
      </w:pPr>
      <w:r>
        <w:t>t</w:t>
      </w:r>
      <w:r w:rsidR="00232E77">
        <w:t>he employer has a weak covenant</w:t>
      </w:r>
      <w:r w:rsidR="007200BB">
        <w:t xml:space="preserve"> but is not faced with imminent insolvency</w:t>
      </w:r>
      <w:r w:rsidR="00232E77">
        <w:t xml:space="preserve"> and must rely on future investment returns to fully or partially fund the </w:t>
      </w:r>
      <w:r w:rsidR="007B2114">
        <w:t>exit payment</w:t>
      </w:r>
      <w:r>
        <w:t>.</w:t>
      </w:r>
      <w:r w:rsidR="00001281">
        <w:t xml:space="preserve"> The administering authority may agree that doing so over an appropriate long period is better for the Fund than risking immediate insolvency of the employer.</w:t>
      </w:r>
    </w:p>
    <w:p w14:paraId="304CA243" w14:textId="42F8B6DE" w:rsidR="00286FF0" w:rsidRDefault="00286FF0" w:rsidP="0090446E">
      <w:pPr>
        <w:pStyle w:val="BodyText"/>
      </w:pPr>
      <w:r>
        <w:t>On the other hand, it may be more appropriate to enter a DSA if:</w:t>
      </w:r>
    </w:p>
    <w:p w14:paraId="5DDB2FEA" w14:textId="414E45B9" w:rsidR="003B6755" w:rsidRDefault="003B6755" w:rsidP="0090446E">
      <w:pPr>
        <w:pStyle w:val="List"/>
      </w:pPr>
      <w:r>
        <w:t>the employer does not intend to employ any more active members</w:t>
      </w:r>
      <w:r w:rsidR="007B2114">
        <w:t xml:space="preserve"> and therefore is not expected to resume active employer </w:t>
      </w:r>
      <w:proofErr w:type="gramStart"/>
      <w:r w:rsidR="007B2114">
        <w:t>status</w:t>
      </w:r>
      <w:r>
        <w:t>;</w:t>
      </w:r>
      <w:proofErr w:type="gramEnd"/>
    </w:p>
    <w:p w14:paraId="7121856C" w14:textId="5CCC94D1" w:rsidR="001D0F1A" w:rsidRDefault="001D0F1A" w:rsidP="0090446E">
      <w:pPr>
        <w:pStyle w:val="List"/>
      </w:pPr>
      <w:r>
        <w:lastRenderedPageBreak/>
        <w:t xml:space="preserve">the employer wishes to crystallise its debt to the Fund and therefore not be subject to any of the </w:t>
      </w:r>
      <w:proofErr w:type="gramStart"/>
      <w:r>
        <w:t>pensions</w:t>
      </w:r>
      <w:proofErr w:type="gramEnd"/>
      <w:r>
        <w:t xml:space="preserve"> risks that </w:t>
      </w:r>
      <w:r w:rsidR="007B2114">
        <w:t>could cause</w:t>
      </w:r>
      <w:r>
        <w:t xml:space="preserve"> the amounts </w:t>
      </w:r>
      <w:r w:rsidR="007B2114">
        <w:t>payable</w:t>
      </w:r>
      <w:r>
        <w:t xml:space="preserve"> to the Fund increasing (or decreasing) in future;</w:t>
      </w:r>
    </w:p>
    <w:p w14:paraId="5A8C2C9A" w14:textId="54AAF703" w:rsidR="00286FF0" w:rsidRDefault="002D4065" w:rsidP="00C00878">
      <w:pPr>
        <w:pStyle w:val="List"/>
      </w:pPr>
      <w:r>
        <w:t xml:space="preserve">the employer has ample resources to make </w:t>
      </w:r>
      <w:r w:rsidR="005F5333">
        <w:t>the payment within the near future</w:t>
      </w:r>
      <w:r w:rsidR="007200BB">
        <w:t xml:space="preserve"> but not immediately</w:t>
      </w:r>
      <w:r w:rsidR="005F5333">
        <w:t>;</w:t>
      </w:r>
      <w:r w:rsidR="008D2113">
        <w:t xml:space="preserve"> and/or</w:t>
      </w:r>
    </w:p>
    <w:p w14:paraId="30862A60" w14:textId="6AD168D1" w:rsidR="005F5333" w:rsidRDefault="005F5333" w:rsidP="0090446E">
      <w:pPr>
        <w:pStyle w:val="List"/>
      </w:pPr>
      <w:r>
        <w:t xml:space="preserve">the employer is deemed to have a </w:t>
      </w:r>
      <w:r w:rsidR="00E430F9">
        <w:t xml:space="preserve">very </w:t>
      </w:r>
      <w:r>
        <w:t>weak covenant</w:t>
      </w:r>
      <w:r w:rsidR="00E430F9">
        <w:t xml:space="preserve"> and so the administering authority will want to try </w:t>
      </w:r>
      <w:r w:rsidR="004C6A37">
        <w:t>to</w:t>
      </w:r>
      <w:r w:rsidR="00E430F9">
        <w:t xml:space="preserve"> recoup as much of the </w:t>
      </w:r>
      <w:r w:rsidR="007B2114">
        <w:t>exit payment</w:t>
      </w:r>
      <w:r w:rsidR="00E430F9">
        <w:t xml:space="preserve"> as possible before the employer be</w:t>
      </w:r>
      <w:r w:rsidR="003B6755">
        <w:t>comes insolvent.</w:t>
      </w:r>
    </w:p>
    <w:p w14:paraId="6EE0898B" w14:textId="04AF9239" w:rsidR="00E14CFE" w:rsidRDefault="003B6755" w:rsidP="00CB755E">
      <w:pPr>
        <w:pStyle w:val="BodyText"/>
      </w:pPr>
      <w:r>
        <w:t xml:space="preserve">The administering authority </w:t>
      </w:r>
      <w:r w:rsidR="00DE479B">
        <w:t>has</w:t>
      </w:r>
      <w:r>
        <w:t xml:space="preserve"> the right to refuse a DSA or DDA request if they believe it is not in the best interests of the Fund or the other participating employers</w:t>
      </w:r>
      <w:r w:rsidR="00F445F2">
        <w:t>, for example if entering a DSA or DDA increases the risk of a deficit falling to the other employers</w:t>
      </w:r>
      <w:r>
        <w:t>.</w:t>
      </w:r>
    </w:p>
    <w:p w14:paraId="5E8939A5" w14:textId="271CE01A" w:rsidR="005B723C" w:rsidRDefault="005B723C" w:rsidP="00CB755E">
      <w:pPr>
        <w:pStyle w:val="BodyText"/>
      </w:pPr>
      <w:r>
        <w:t xml:space="preserve">In considering each request for a DDA or DSA arrangement from an </w:t>
      </w:r>
      <w:proofErr w:type="spellStart"/>
      <w:r>
        <w:t>exiting</w:t>
      </w:r>
      <w:proofErr w:type="spellEnd"/>
      <w:r>
        <w:t xml:space="preserve"> employer the </w:t>
      </w:r>
      <w:r w:rsidRPr="005B723C">
        <w:t>administering authority will take actuarial, covenant, legal and other advice as necessary</w:t>
      </w:r>
      <w:r>
        <w:t>.</w:t>
      </w:r>
      <w:r w:rsidR="005D3E86">
        <w:t xml:space="preserve"> Proposed DDAs/DSAs</w:t>
      </w:r>
      <w:r w:rsidR="005D3E86" w:rsidRPr="00EB50B2">
        <w:t xml:space="preserve"> will always be discussed with the employer, whether </w:t>
      </w:r>
      <w:r w:rsidR="005D3E86">
        <w:t xml:space="preserve">the arrangement was </w:t>
      </w:r>
      <w:r w:rsidR="005D3E86" w:rsidRPr="00EB50B2">
        <w:t>at the</w:t>
      </w:r>
      <w:r w:rsidR="005D3E86">
        <w:t xml:space="preserve"> exiting</w:t>
      </w:r>
      <w:r w:rsidR="005D3E86" w:rsidRPr="00EB50B2">
        <w:t xml:space="preserve"> employer’s request or not.</w:t>
      </w:r>
    </w:p>
    <w:p w14:paraId="7D357D7B" w14:textId="499CDE38" w:rsidR="00EF153E" w:rsidRDefault="00EF153E" w:rsidP="00CB755E">
      <w:pPr>
        <w:pStyle w:val="BodyText"/>
      </w:pPr>
      <w:r w:rsidRPr="00EF153E">
        <w:t xml:space="preserve">Employers who may be party to either a DSA or a DDA </w:t>
      </w:r>
      <w:r>
        <w:t>are</w:t>
      </w:r>
      <w:r w:rsidRPr="00EF153E">
        <w:t xml:space="preserve"> encouraged to discuss any potential impact on their accounting treatment with their auditors</w:t>
      </w:r>
      <w:r>
        <w:t>.</w:t>
      </w:r>
    </w:p>
    <w:p w14:paraId="6A82DEE0" w14:textId="77777777" w:rsidR="00172572" w:rsidRDefault="00172572" w:rsidP="00172572">
      <w:pPr>
        <w:pStyle w:val="Heading3"/>
      </w:pPr>
      <w:bookmarkStart w:id="4" w:name="_Toc63178014"/>
      <w:r>
        <w:t>Managing of costs</w:t>
      </w:r>
      <w:bookmarkEnd w:id="4"/>
    </w:p>
    <w:p w14:paraId="39AD33D5" w14:textId="13F1ED4E" w:rsidR="00172572" w:rsidRDefault="00172572" w:rsidP="00172572">
      <w:pPr>
        <w:pStyle w:val="BodyText"/>
      </w:pPr>
      <w:r w:rsidRPr="000A1782">
        <w:t xml:space="preserve">On receiving a </w:t>
      </w:r>
      <w:proofErr w:type="gramStart"/>
      <w:r w:rsidRPr="000A1782">
        <w:t>request</w:t>
      </w:r>
      <w:proofErr w:type="gramEnd"/>
      <w:r w:rsidRPr="000A1782">
        <w:t xml:space="preserve"> the administering authority will make the employer aware that any costs associated with </w:t>
      </w:r>
      <w:r>
        <w:t xml:space="preserve">setting up </w:t>
      </w:r>
      <w:r w:rsidRPr="000A1782">
        <w:t xml:space="preserve">the </w:t>
      </w:r>
      <w:r>
        <w:t xml:space="preserve">DDA or DSA </w:t>
      </w:r>
      <w:r w:rsidRPr="000A1782">
        <w:t xml:space="preserve">will be the responsibility of the Scheme employer, regardless of whether the administering authority agrees to enter into the </w:t>
      </w:r>
      <w:r>
        <w:t>agreement</w:t>
      </w:r>
      <w:r w:rsidRPr="000A1782">
        <w:t xml:space="preserve"> or not. This may include </w:t>
      </w:r>
      <w:r>
        <w:t>the cost of actuarial advice, legal advice, administrative costs and any additional advice required in relation to a covenant assessment</w:t>
      </w:r>
      <w:r w:rsidR="00DB0587">
        <w:t xml:space="preserve"> or any other specialist adviser costs</w:t>
      </w:r>
      <w:r w:rsidRPr="000A1782">
        <w:t xml:space="preserve">. </w:t>
      </w:r>
      <w:r w:rsidRPr="000C5429">
        <w:t xml:space="preserve">If costs deviate from those initially anticipated the administering authority will keep the exiting employer </w:t>
      </w:r>
      <w:proofErr w:type="gramStart"/>
      <w:r w:rsidRPr="000C5429">
        <w:t>up-to-date</w:t>
      </w:r>
      <w:proofErr w:type="gramEnd"/>
      <w:r w:rsidRPr="000C5429">
        <w:t xml:space="preserve"> with any increases. </w:t>
      </w:r>
      <w:r w:rsidRPr="000A1782">
        <w:t>The administering authority will provide information on how and when payments should be made.</w:t>
      </w:r>
    </w:p>
    <w:p w14:paraId="0997A0F8" w14:textId="3EF0DD52" w:rsidR="00172572" w:rsidRDefault="00EB50B2" w:rsidP="00131048">
      <w:pPr>
        <w:pStyle w:val="Heading3"/>
      </w:pPr>
      <w:r>
        <w:t>Internal dispute resolutions</w:t>
      </w:r>
    </w:p>
    <w:p w14:paraId="09ED6DEC" w14:textId="368F15AF" w:rsidR="00EB50B2" w:rsidRDefault="00EB50B2" w:rsidP="00CB755E">
      <w:pPr>
        <w:pStyle w:val="BodyText"/>
      </w:pPr>
      <w:r w:rsidRPr="0016247E">
        <w:t xml:space="preserve">Whether a DDA or DSA arrangement is agreed or not is ultimately the decision of the administering authority. In the event of any dispute from the employer, please refer to the </w:t>
      </w:r>
      <w:r w:rsidR="0044625C" w:rsidRPr="0044625C">
        <w:t>Appeals Process procedure</w:t>
      </w:r>
      <w:r w:rsidR="0044625C" w:rsidRPr="0016247E">
        <w:t xml:space="preserve"> on page 15.</w:t>
      </w:r>
    </w:p>
    <w:p w14:paraId="0C0DEFE0" w14:textId="210B576A" w:rsidR="00B1038F" w:rsidRDefault="00B1038F">
      <w:pPr>
        <w:pStyle w:val="BodyText"/>
      </w:pPr>
    </w:p>
    <w:p w14:paraId="0B2747EE" w14:textId="68B3DCF6" w:rsidR="00033B06" w:rsidRDefault="00033B06" w:rsidP="00900236">
      <w:pPr>
        <w:pStyle w:val="Heading1"/>
      </w:pPr>
      <w:bookmarkStart w:id="5" w:name="_Toc63178015"/>
      <w:bookmarkStart w:id="6" w:name="_Toc62462624"/>
      <w:r w:rsidRPr="00172572">
        <w:lastRenderedPageBreak/>
        <w:t>Deferred Debt Agreements (DDAs)</w:t>
      </w:r>
      <w:bookmarkEnd w:id="5"/>
    </w:p>
    <w:p w14:paraId="13E1E416" w14:textId="7EAEF928" w:rsidR="00900236" w:rsidRDefault="00900236" w:rsidP="00CB755E">
      <w:pPr>
        <w:pStyle w:val="Heading2"/>
      </w:pPr>
      <w:bookmarkStart w:id="7" w:name="_Toc63178016"/>
      <w:proofErr w:type="gramStart"/>
      <w:r>
        <w:t>Entering into</w:t>
      </w:r>
      <w:proofErr w:type="gramEnd"/>
      <w:r>
        <w:t xml:space="preserve"> a </w:t>
      </w:r>
      <w:bookmarkEnd w:id="6"/>
      <w:r w:rsidR="00DF4CD6">
        <w:t>DDA</w:t>
      </w:r>
      <w:bookmarkEnd w:id="7"/>
    </w:p>
    <w:p w14:paraId="77F9514C" w14:textId="3DE5D877" w:rsidR="00AC7F5D" w:rsidRDefault="00AC7F5D" w:rsidP="0090446E">
      <w:pPr>
        <w:pStyle w:val="BodyText"/>
      </w:pPr>
      <w:r w:rsidRPr="00AC7F5D">
        <w:t>Under a DDA, the exiting employer becomes a deferred employer in the Fund (</w:t>
      </w:r>
      <w:proofErr w:type="gramStart"/>
      <w:r w:rsidRPr="00AC7F5D">
        <w:t>i.e.</w:t>
      </w:r>
      <w:proofErr w:type="gramEnd"/>
      <w:r w:rsidRPr="00AC7F5D">
        <w:t xml:space="preserve"> they remain as a Scheme employer but with no active members) and remains responsible for paying the secondary rate of contributions to fund their deficit. </w:t>
      </w:r>
    </w:p>
    <w:p w14:paraId="47BF78D1" w14:textId="12B947A9" w:rsidR="00337993" w:rsidRDefault="00337993" w:rsidP="00337993">
      <w:pPr>
        <w:pStyle w:val="BodyText"/>
      </w:pPr>
      <w:r w:rsidRPr="0016247E">
        <w:t xml:space="preserve">An </w:t>
      </w:r>
      <w:proofErr w:type="spellStart"/>
      <w:r w:rsidRPr="0016247E">
        <w:t>exiting</w:t>
      </w:r>
      <w:proofErr w:type="spellEnd"/>
      <w:r w:rsidRPr="0016247E">
        <w:t xml:space="preserve"> employer that participated in a funding pool prior to exit will be removed from the pool for the duration of a DDA to isolate the risks arising during the period of the DDA</w:t>
      </w:r>
      <w:r w:rsidR="00592A95" w:rsidRPr="0016247E">
        <w:t>,</w:t>
      </w:r>
      <w:r w:rsidRPr="0016247E">
        <w:t xml:space="preserve"> and to accurately reflect the impact of payments made under the DDA.</w:t>
      </w:r>
      <w:r w:rsidR="0025084D">
        <w:t xml:space="preserve"> </w:t>
      </w:r>
    </w:p>
    <w:p w14:paraId="12DE5BB4" w14:textId="65D79BE2" w:rsidR="00F445F2" w:rsidRDefault="00593BF3" w:rsidP="00CB755E">
      <w:pPr>
        <w:pStyle w:val="Heading3"/>
      </w:pPr>
      <w:bookmarkStart w:id="8" w:name="_Toc63178017"/>
      <w:r>
        <w:t>Information required from the employer</w:t>
      </w:r>
      <w:bookmarkEnd w:id="8"/>
    </w:p>
    <w:p w14:paraId="1FD973D7" w14:textId="19996EA4" w:rsidR="00F445F2" w:rsidRDefault="00E14CFE" w:rsidP="00CB755E">
      <w:pPr>
        <w:pStyle w:val="BodyText"/>
      </w:pPr>
      <w:r w:rsidRPr="00241AE7">
        <w:t>When making a request</w:t>
      </w:r>
      <w:r w:rsidR="00172471">
        <w:t xml:space="preserve"> to enter a DDA</w:t>
      </w:r>
      <w:r w:rsidRPr="00241AE7">
        <w:t>, the employer should demonstrate that they are unable to settle thei</w:t>
      </w:r>
      <w:r>
        <w:t xml:space="preserve">r exit payment immediately and </w:t>
      </w:r>
      <w:r w:rsidRPr="00241AE7">
        <w:t xml:space="preserve">provide any relevant information to support their </w:t>
      </w:r>
      <w:r>
        <w:t xml:space="preserve">request </w:t>
      </w:r>
      <w:proofErr w:type="gramStart"/>
      <w:r>
        <w:t>e.g.</w:t>
      </w:r>
      <w:proofErr w:type="gramEnd"/>
      <w:r>
        <w:t xml:space="preserve"> in relation to their covenant/ability to continue to make payments to the Fund on </w:t>
      </w:r>
      <w:r w:rsidR="000C5429">
        <w:t>a continuing</w:t>
      </w:r>
      <w:r>
        <w:t xml:space="preserve"> basis. </w:t>
      </w:r>
      <w:r w:rsidR="00F445F2">
        <w:t>Examples of information the employer may provide as evidence include the</w:t>
      </w:r>
      <w:r w:rsidR="00DF4CD6">
        <w:t xml:space="preserve"> exiting</w:t>
      </w:r>
      <w:r w:rsidR="00F445F2">
        <w:t xml:space="preserve"> employer’s:</w:t>
      </w:r>
    </w:p>
    <w:p w14:paraId="584E1B4E" w14:textId="7454F6C9" w:rsidR="00F445F2" w:rsidRDefault="00AC7F5D" w:rsidP="00CB755E">
      <w:pPr>
        <w:pStyle w:val="List"/>
      </w:pPr>
      <w:r>
        <w:t>most recent annual report and accounts</w:t>
      </w:r>
    </w:p>
    <w:p w14:paraId="0D3B6870" w14:textId="7A8C7A5F" w:rsidR="00F445F2" w:rsidRDefault="00AC7F5D" w:rsidP="00CB755E">
      <w:pPr>
        <w:pStyle w:val="List"/>
      </w:pPr>
      <w:r>
        <w:t>latest management accounts</w:t>
      </w:r>
    </w:p>
    <w:p w14:paraId="61C056F9" w14:textId="7A3F8A5D" w:rsidR="00F445F2" w:rsidRDefault="00AC7F5D" w:rsidP="00CB755E">
      <w:pPr>
        <w:pStyle w:val="List"/>
      </w:pPr>
      <w:r>
        <w:t xml:space="preserve">financial forecasts </w:t>
      </w:r>
    </w:p>
    <w:p w14:paraId="16CA9AB7" w14:textId="4FB097D8" w:rsidR="00F445F2" w:rsidRDefault="00AC7F5D" w:rsidP="00CB755E">
      <w:pPr>
        <w:pStyle w:val="List"/>
      </w:pPr>
      <w:r>
        <w:t>details of position of other creditors</w:t>
      </w:r>
    </w:p>
    <w:p w14:paraId="2EAA25A0" w14:textId="44BE1B40" w:rsidR="00A35B05" w:rsidRDefault="00DB0587" w:rsidP="00CB755E">
      <w:pPr>
        <w:pStyle w:val="BodyText"/>
      </w:pPr>
      <w:r>
        <w:t>This is not an exhaustive list and the administering authority may request further evidence. In particular, t</w:t>
      </w:r>
      <w:r w:rsidR="00E14CFE">
        <w:t xml:space="preserve">he administering authority may commission a covenant assessment if insufficient evidence is provided. </w:t>
      </w:r>
    </w:p>
    <w:p w14:paraId="2E1204BD" w14:textId="03D9B667" w:rsidR="00F445F2" w:rsidRDefault="00BE4282" w:rsidP="00CB755E">
      <w:pPr>
        <w:pStyle w:val="Heading3"/>
      </w:pPr>
      <w:bookmarkStart w:id="9" w:name="_Toc63178018"/>
      <w:r>
        <w:t>Assessing the proposal</w:t>
      </w:r>
      <w:bookmarkEnd w:id="9"/>
    </w:p>
    <w:p w14:paraId="1B323D7F" w14:textId="2A3F9A1D" w:rsidR="00F445F2" w:rsidRDefault="00E14CFE" w:rsidP="00CB755E">
      <w:pPr>
        <w:pStyle w:val="BodyText"/>
      </w:pPr>
      <w:r>
        <w:t xml:space="preserve">The administering authority will make a decision on whether to enter into a DDA </w:t>
      </w:r>
      <w:r w:rsidRPr="00A94AD5">
        <w:t xml:space="preserve">within </w:t>
      </w:r>
      <w:r w:rsidR="7DF45134" w:rsidRPr="0016247E">
        <w:t>2</w:t>
      </w:r>
      <w:r w:rsidR="000D32F6" w:rsidRPr="0016247E">
        <w:t>8</w:t>
      </w:r>
      <w:r w:rsidRPr="0016247E">
        <w:t xml:space="preserve"> days of receiving a </w:t>
      </w:r>
      <w:proofErr w:type="gramStart"/>
      <w:r w:rsidRPr="0016247E">
        <w:t>request</w:t>
      </w:r>
      <w:proofErr w:type="gramEnd"/>
      <w:r w:rsidRPr="00A94AD5">
        <w:t xml:space="preserve"> but this may vary to reflect specific circumstances, for example if the administering authority chooses to request a covenant assessment</w:t>
      </w:r>
      <w:r w:rsidR="00F445F2" w:rsidRPr="00C9570E">
        <w:t xml:space="preserve"> then the process may take longer</w:t>
      </w:r>
      <w:r w:rsidRPr="00C9570E">
        <w:t>.</w:t>
      </w:r>
      <w:r>
        <w:t xml:space="preserve"> </w:t>
      </w:r>
    </w:p>
    <w:p w14:paraId="4533531D" w14:textId="1FCD1F30" w:rsidR="00E14CFE" w:rsidRDefault="00E14CFE" w:rsidP="00CB755E">
      <w:pPr>
        <w:pStyle w:val="BodyText"/>
      </w:pPr>
      <w:r>
        <w:t>To reach a decision the administering authority will consider:</w:t>
      </w:r>
    </w:p>
    <w:p w14:paraId="22B8BC4D" w14:textId="07B21DFA" w:rsidR="00E14CFE" w:rsidRDefault="00E14CFE" w:rsidP="00E14CFE">
      <w:pPr>
        <w:pStyle w:val="List"/>
      </w:pPr>
      <w:r>
        <w:t xml:space="preserve">the size of the </w:t>
      </w:r>
      <w:r w:rsidR="00DF4CD6">
        <w:t xml:space="preserve">exiting </w:t>
      </w:r>
      <w:r>
        <w:t xml:space="preserve">employer’s residual liabilities relative to the size of the </w:t>
      </w:r>
      <w:proofErr w:type="gramStart"/>
      <w:r>
        <w:t>Fund;</w:t>
      </w:r>
      <w:proofErr w:type="gramEnd"/>
    </w:p>
    <w:p w14:paraId="241C9F1B" w14:textId="15F6D4E4" w:rsidR="00E14CFE" w:rsidRDefault="00E14CFE" w:rsidP="00E14CFE">
      <w:pPr>
        <w:pStyle w:val="List"/>
      </w:pPr>
      <w:r>
        <w:t xml:space="preserve">the size of the exit payment relative to the costs associated with entering into a </w:t>
      </w:r>
      <w:proofErr w:type="gramStart"/>
      <w:r>
        <w:t>DDA;</w:t>
      </w:r>
      <w:proofErr w:type="gramEnd"/>
    </w:p>
    <w:p w14:paraId="79108D12" w14:textId="3951DBA3" w:rsidR="00E14CFE" w:rsidRDefault="00E14CFE" w:rsidP="00E14CFE">
      <w:pPr>
        <w:pStyle w:val="List"/>
      </w:pPr>
      <w:r>
        <w:t xml:space="preserve">whether a debt spreading </w:t>
      </w:r>
      <w:r w:rsidR="00001DC8">
        <w:t xml:space="preserve">agreement </w:t>
      </w:r>
      <w:r>
        <w:t>or suspension notice would be more appropriate (see specific circumstances below</w:t>
      </w:r>
      <w:proofErr w:type="gramStart"/>
      <w:r>
        <w:t>);</w:t>
      </w:r>
      <w:proofErr w:type="gramEnd"/>
    </w:p>
    <w:p w14:paraId="0B00E992" w14:textId="5DB11747" w:rsidR="00E14CFE" w:rsidRDefault="00E14CFE" w:rsidP="00E14CFE">
      <w:pPr>
        <w:pStyle w:val="List"/>
      </w:pPr>
      <w:r>
        <w:t xml:space="preserve">any information provided by the </w:t>
      </w:r>
      <w:r w:rsidR="00DF4CD6">
        <w:t xml:space="preserve">exiting </w:t>
      </w:r>
      <w:r>
        <w:t>employer to support their covenant strength</w:t>
      </w:r>
      <w:r w:rsidR="00EF153E">
        <w:t xml:space="preserve">, including any information on a guarantor or other form of security that the employer may be able to put forward to support their </w:t>
      </w:r>
      <w:proofErr w:type="gramStart"/>
      <w:r w:rsidR="00EF153E">
        <w:t>covenant</w:t>
      </w:r>
      <w:r>
        <w:t>;</w:t>
      </w:r>
      <w:proofErr w:type="gramEnd"/>
    </w:p>
    <w:p w14:paraId="3D0D4D99" w14:textId="77777777" w:rsidR="00E14CFE" w:rsidRDefault="00E14CFE" w:rsidP="00E14CFE">
      <w:pPr>
        <w:pStyle w:val="List"/>
      </w:pPr>
      <w:r>
        <w:t xml:space="preserve">the results of any covenant review carried out by the Fund Actuary or a covenant </w:t>
      </w:r>
      <w:proofErr w:type="gramStart"/>
      <w:r>
        <w:t>specialist;</w:t>
      </w:r>
      <w:proofErr w:type="gramEnd"/>
      <w:r>
        <w:t xml:space="preserve"> </w:t>
      </w:r>
    </w:p>
    <w:p w14:paraId="5679596E" w14:textId="5C61BBDF" w:rsidR="00AB24D1" w:rsidRDefault="00E14CFE" w:rsidP="00E14CFE">
      <w:pPr>
        <w:pStyle w:val="List"/>
      </w:pPr>
      <w:r>
        <w:t xml:space="preserve">the </w:t>
      </w:r>
      <w:r w:rsidR="00DF4CD6">
        <w:t xml:space="preserve">exiting </w:t>
      </w:r>
      <w:r>
        <w:t xml:space="preserve">employer’s </w:t>
      </w:r>
      <w:proofErr w:type="gramStart"/>
      <w:r>
        <w:t>accounts;</w:t>
      </w:r>
      <w:proofErr w:type="gramEnd"/>
      <w:r>
        <w:t xml:space="preserve"> </w:t>
      </w:r>
    </w:p>
    <w:p w14:paraId="23E9EDAF" w14:textId="77777777" w:rsidR="00AB24D1" w:rsidRDefault="00AB24D1" w:rsidP="00AB24D1">
      <w:pPr>
        <w:pStyle w:val="List"/>
      </w:pPr>
      <w:r>
        <w:t>the potential impact on the other employers in the Fund; and</w:t>
      </w:r>
    </w:p>
    <w:p w14:paraId="77E00436" w14:textId="77777777" w:rsidR="00E14CFE" w:rsidRDefault="00E14CFE" w:rsidP="00E14CFE">
      <w:pPr>
        <w:pStyle w:val="List"/>
      </w:pPr>
      <w:r>
        <w:t>the opinion of the Fund Actuary.</w:t>
      </w:r>
    </w:p>
    <w:p w14:paraId="680E7184" w14:textId="3BB4C664" w:rsidR="00E14CFE" w:rsidRDefault="00E14CFE" w:rsidP="00CB755E">
      <w:pPr>
        <w:pStyle w:val="BodyText"/>
        <w:keepNext/>
      </w:pPr>
      <w:r>
        <w:lastRenderedPageBreak/>
        <w:t xml:space="preserve">The administering authority is not obliged to </w:t>
      </w:r>
      <w:r w:rsidR="00F445F2">
        <w:t xml:space="preserve">accept an </w:t>
      </w:r>
      <w:proofErr w:type="spellStart"/>
      <w:r w:rsidR="00DF4CD6">
        <w:t>exiting</w:t>
      </w:r>
      <w:proofErr w:type="spellEnd"/>
      <w:r w:rsidR="00DF4CD6">
        <w:t xml:space="preserve"> </w:t>
      </w:r>
      <w:r w:rsidR="00F445F2">
        <w:t xml:space="preserve">employer’s request for </w:t>
      </w:r>
      <w:r>
        <w:t xml:space="preserve">a DDA. For example, in the following circumstances </w:t>
      </w:r>
      <w:r w:rsidR="00F445F2">
        <w:t xml:space="preserve">the administering authority may consider </w:t>
      </w:r>
      <w:r>
        <w:t xml:space="preserve">a DDA </w:t>
      </w:r>
      <w:r w:rsidR="00F445F2">
        <w:t xml:space="preserve">not to be </w:t>
      </w:r>
      <w:r>
        <w:t>appropriate:</w:t>
      </w:r>
    </w:p>
    <w:p w14:paraId="7F9D2F21" w14:textId="212BAF0A" w:rsidR="00E14CFE" w:rsidRDefault="00E14CFE" w:rsidP="00E14CFE">
      <w:pPr>
        <w:pStyle w:val="List"/>
      </w:pPr>
      <w:r>
        <w:t xml:space="preserve">the </w:t>
      </w:r>
      <w:r w:rsidR="00DF4CD6">
        <w:t xml:space="preserve">exiting </w:t>
      </w:r>
      <w:r>
        <w:t xml:space="preserve">employer could reasonably be expected to settle their exit payment in a single </w:t>
      </w:r>
      <w:proofErr w:type="gramStart"/>
      <w:r>
        <w:t>amount;</w:t>
      </w:r>
      <w:proofErr w:type="gramEnd"/>
    </w:p>
    <w:p w14:paraId="4C260F88" w14:textId="6A89AC77" w:rsidR="00E14CFE" w:rsidRDefault="00E14CFE" w:rsidP="00E14CFE">
      <w:pPr>
        <w:pStyle w:val="List"/>
      </w:pPr>
      <w:r>
        <w:t>it is known or likely that another active member will come into employment in the three years following the cessation date (in these cases a suspension notice would be considered more appropriate</w:t>
      </w:r>
      <w:r w:rsidR="00591FE7">
        <w:t xml:space="preserve"> than a DDA</w:t>
      </w:r>
      <w:r>
        <w:t xml:space="preserve">); </w:t>
      </w:r>
      <w:r w:rsidR="00AB24D1">
        <w:t>or</w:t>
      </w:r>
    </w:p>
    <w:p w14:paraId="6B2EA8B3" w14:textId="49B3487B" w:rsidR="00E14CFE" w:rsidRDefault="00E14CFE" w:rsidP="00E14CFE">
      <w:pPr>
        <w:pStyle w:val="List"/>
      </w:pPr>
      <w:r>
        <w:t xml:space="preserve">the administering authority is concerned that where a DDA is entered, that the employer could not afford the impact of any negative experience </w:t>
      </w:r>
      <w:r w:rsidR="00DB0587">
        <w:t xml:space="preserve">which would result in an increase in the required secondary rate of contributions and an increase in the employer’s overall deficit </w:t>
      </w:r>
      <w:r>
        <w:t xml:space="preserve">(in these cases a debt spreading </w:t>
      </w:r>
      <w:r w:rsidR="00001DC8">
        <w:t xml:space="preserve">agreement </w:t>
      </w:r>
      <w:r>
        <w:t>would be considered more appropriate as the payments are fixed throughout the term of the agreement).</w:t>
      </w:r>
    </w:p>
    <w:p w14:paraId="11DF3670" w14:textId="7E7FA374" w:rsidR="00591FE7" w:rsidRDefault="00E14CFE" w:rsidP="0090446E">
      <w:pPr>
        <w:pStyle w:val="BodyText"/>
      </w:pPr>
      <w:r>
        <w:t xml:space="preserve">Once all information has been considered the administering authority will consult with the </w:t>
      </w:r>
      <w:r w:rsidR="00DF4CD6">
        <w:t xml:space="preserve">exiting </w:t>
      </w:r>
      <w:r>
        <w:t xml:space="preserve">employer as required under the Regulations. If the administering authority does not wish to enter into a DDA they will explain </w:t>
      </w:r>
      <w:r w:rsidR="00591FE7">
        <w:t>to the</w:t>
      </w:r>
      <w:r w:rsidR="00DF4CD6">
        <w:t xml:space="preserve"> exiting</w:t>
      </w:r>
      <w:r w:rsidR="00591FE7">
        <w:t xml:space="preserve"> employer </w:t>
      </w:r>
      <w:r>
        <w:t>their reasoning and any alternatives (</w:t>
      </w:r>
      <w:proofErr w:type="gramStart"/>
      <w:r>
        <w:t>e.g.</w:t>
      </w:r>
      <w:proofErr w:type="gramEnd"/>
      <w:r>
        <w:t xml:space="preserve"> a debt spreading </w:t>
      </w:r>
      <w:r w:rsidR="00001DC8">
        <w:t>agreement</w:t>
      </w:r>
      <w:r w:rsidR="00F54FD7">
        <w:t>,</w:t>
      </w:r>
      <w:r w:rsidR="00001DC8">
        <w:t xml:space="preserve"> </w:t>
      </w:r>
      <w:r>
        <w:t>suspension notice</w:t>
      </w:r>
      <w:r w:rsidR="00F54FD7">
        <w:t xml:space="preserve"> </w:t>
      </w:r>
      <w:r w:rsidR="00F54FD7" w:rsidRPr="00F54FD7">
        <w:t>or indeed require the exit payment in full</w:t>
      </w:r>
      <w:r>
        <w:t xml:space="preserve">). If the administering authority </w:t>
      </w:r>
      <w:r w:rsidR="00591FE7">
        <w:t>accepts the request to</w:t>
      </w:r>
      <w:r>
        <w:t xml:space="preserve"> </w:t>
      </w:r>
      <w:proofErr w:type="gramStart"/>
      <w:r>
        <w:t>enter into</w:t>
      </w:r>
      <w:proofErr w:type="gramEnd"/>
      <w:r>
        <w:t xml:space="preserve"> a DDA, they will notify their legal advisers and Fund Actuary. </w:t>
      </w:r>
      <w:r w:rsidR="00591FE7">
        <w:t xml:space="preserve">If the administering authority has concerns about the level of risk arising due to the DDA, the administering authority may only accept the request subject to a one-off cash injection being made by the </w:t>
      </w:r>
      <w:r w:rsidR="00DF4CD6">
        <w:t xml:space="preserve">exiting </w:t>
      </w:r>
      <w:r w:rsidR="00591FE7">
        <w:t xml:space="preserve">employer or security being provided as an additional guarantee. </w:t>
      </w:r>
    </w:p>
    <w:p w14:paraId="359DBFD3" w14:textId="2A07D9C7" w:rsidR="00591FE7" w:rsidRDefault="00591FE7" w:rsidP="00CB755E">
      <w:pPr>
        <w:pStyle w:val="Heading3"/>
      </w:pPr>
      <w:bookmarkStart w:id="10" w:name="_Toc63178019"/>
      <w:r>
        <w:t xml:space="preserve">Setting up </w:t>
      </w:r>
      <w:r w:rsidR="00DF4CD6">
        <w:t>a DDA</w:t>
      </w:r>
      <w:bookmarkEnd w:id="10"/>
    </w:p>
    <w:p w14:paraId="640E5453" w14:textId="507712BC" w:rsidR="00591FE7" w:rsidRDefault="00A35B05" w:rsidP="0090446E">
      <w:pPr>
        <w:pStyle w:val="BodyText"/>
      </w:pPr>
      <w:r>
        <w:t>Once agreed that a DDA is permitted, t</w:t>
      </w:r>
      <w:r w:rsidR="00591FE7">
        <w:t xml:space="preserve">he terms of the DDA will be agreed between the administering authority and the </w:t>
      </w:r>
      <w:r w:rsidR="00DF4CD6">
        <w:t xml:space="preserve">exiting </w:t>
      </w:r>
      <w:r w:rsidR="00591FE7">
        <w:t>employer and will be set out in a formal legal agreement.</w:t>
      </w:r>
      <w:r>
        <w:t xml:space="preserve"> </w:t>
      </w:r>
    </w:p>
    <w:p w14:paraId="4FC6436E" w14:textId="7EC1BB44" w:rsidR="00E14CFE" w:rsidRDefault="00E14CFE" w:rsidP="0090446E">
      <w:pPr>
        <w:pStyle w:val="BodyText"/>
      </w:pPr>
      <w:r>
        <w:t xml:space="preserve">The administering authority and the </w:t>
      </w:r>
      <w:r w:rsidR="00DF4CD6">
        <w:t xml:space="preserve">exiting </w:t>
      </w:r>
      <w:r>
        <w:t xml:space="preserve">employer (with the assistance of the Fund Actuary) will negotiate an appropriate duration of the agreement which </w:t>
      </w:r>
      <w:r w:rsidR="00591FE7">
        <w:t xml:space="preserve">will </w:t>
      </w:r>
      <w:r>
        <w:t>consider the</w:t>
      </w:r>
      <w:r w:rsidR="00DF4CD6">
        <w:t xml:space="preserve"> exiting</w:t>
      </w:r>
      <w:r>
        <w:t xml:space="preserve"> employer’s affordability and </w:t>
      </w:r>
      <w:r w:rsidR="00591FE7">
        <w:t xml:space="preserve">anticipated strength of </w:t>
      </w:r>
      <w:r>
        <w:t>covenant</w:t>
      </w:r>
      <w:r w:rsidR="00591FE7">
        <w:t xml:space="preserve"> over the agreement period</w:t>
      </w:r>
      <w:r>
        <w:t>.</w:t>
      </w:r>
      <w:r w:rsidR="00080D81">
        <w:t xml:space="preserve"> If the </w:t>
      </w:r>
      <w:r w:rsidR="00DF4CD6">
        <w:t xml:space="preserve">exiting </w:t>
      </w:r>
      <w:r w:rsidR="00080D81">
        <w:t>employer has sufficient reserves, the administering authority may require an immediate cash payment so that the DDA can start from an acceptably stronger funding position.</w:t>
      </w:r>
    </w:p>
    <w:p w14:paraId="4E7087B2" w14:textId="56974E75" w:rsidR="00E14CFE" w:rsidRDefault="00E14CFE" w:rsidP="0090446E">
      <w:pPr>
        <w:pStyle w:val="BodyText"/>
      </w:pPr>
      <w:r>
        <w:t>The Fund Actuary will calculate secondary contributions on a</w:t>
      </w:r>
      <w:r w:rsidR="00591FE7">
        <w:t>n appropriate</w:t>
      </w:r>
      <w:r>
        <w:t xml:space="preserve"> basis </w:t>
      </w:r>
      <w:r w:rsidR="00591FE7">
        <w:t xml:space="preserve">as agreed with the administering authority and following consultation with the </w:t>
      </w:r>
      <w:r w:rsidR="00DF4CD6">
        <w:t xml:space="preserve">exiting </w:t>
      </w:r>
      <w:r w:rsidR="00591FE7">
        <w:t>employer</w:t>
      </w:r>
      <w:r>
        <w:t xml:space="preserve">, </w:t>
      </w:r>
      <w:proofErr w:type="gramStart"/>
      <w:r>
        <w:t>taking into account</w:t>
      </w:r>
      <w:proofErr w:type="gramEnd"/>
      <w:r>
        <w:t xml:space="preserve"> any cash payments made </w:t>
      </w:r>
      <w:r w:rsidR="00BE4282">
        <w:t>in advance</w:t>
      </w:r>
      <w:r>
        <w:t xml:space="preserve">. The secondary contributions will be reviewed at each actuarial valuation </w:t>
      </w:r>
      <w:r w:rsidR="00C27411">
        <w:t xml:space="preserve">and certified as part of the Fund’s Rates and Adjustments Certificate </w:t>
      </w:r>
      <w:r>
        <w:t xml:space="preserve">until the termination of the agreement. </w:t>
      </w:r>
      <w:proofErr w:type="gramStart"/>
      <w:r>
        <w:t>Therefore</w:t>
      </w:r>
      <w:proofErr w:type="gramEnd"/>
      <w:r>
        <w:t xml:space="preserve"> payments throughout the agreement are not known in advance and may increase or decrease at each valuation</w:t>
      </w:r>
      <w:r w:rsidR="00591FE7">
        <w:t xml:space="preserve"> to reflect changes in the employer’s funding position</w:t>
      </w:r>
      <w:r>
        <w:t xml:space="preserve">.  </w:t>
      </w:r>
    </w:p>
    <w:p w14:paraId="3AFD012C" w14:textId="4B9409D5" w:rsidR="00E14CFE" w:rsidRDefault="00E14CFE" w:rsidP="0090446E">
      <w:pPr>
        <w:pStyle w:val="BodyText"/>
      </w:pPr>
      <w:r>
        <w:t>The timeline from consultation with the</w:t>
      </w:r>
      <w:r w:rsidR="00DF4CD6">
        <w:t xml:space="preserve"> exiting</w:t>
      </w:r>
      <w:r>
        <w:t xml:space="preserve"> employer to </w:t>
      </w:r>
      <w:proofErr w:type="gramStart"/>
      <w:r>
        <w:t>entering into</w:t>
      </w:r>
      <w:proofErr w:type="gramEnd"/>
      <w:r>
        <w:t xml:space="preserve"> a DDA to the signing of the agreement will vary. Where possible all parties will aim to have the agreement signed </w:t>
      </w:r>
      <w:r w:rsidRPr="00A94AD5">
        <w:t xml:space="preserve">within </w:t>
      </w:r>
      <w:r w:rsidR="5CB28748" w:rsidRPr="0016247E">
        <w:t>3 months</w:t>
      </w:r>
      <w:r w:rsidR="00EB50B2" w:rsidRPr="00A94AD5">
        <w:t>, although</w:t>
      </w:r>
      <w:r w:rsidR="00EB50B2">
        <w:t xml:space="preserve"> there may be circumstances where timings may vary</w:t>
      </w:r>
      <w:r>
        <w:t xml:space="preserve">. </w:t>
      </w:r>
    </w:p>
    <w:p w14:paraId="79795B5B" w14:textId="190711F3" w:rsidR="00BE4282" w:rsidRDefault="00E14CFE" w:rsidP="0090446E">
      <w:pPr>
        <w:pStyle w:val="BodyText"/>
      </w:pPr>
      <w:r>
        <w:t xml:space="preserve">Once finalised, the employer will </w:t>
      </w:r>
      <w:r w:rsidR="00A35B05">
        <w:t>become</w:t>
      </w:r>
      <w:r w:rsidR="00BE4282">
        <w:t xml:space="preserve"> a deferred employer </w:t>
      </w:r>
      <w:r w:rsidR="00A35B05">
        <w:t xml:space="preserve">in the Fund </w:t>
      </w:r>
      <w:r>
        <w:t xml:space="preserve">and will have an obligation to pay their secondary contributions as certified by the Fund Actuary. </w:t>
      </w:r>
      <w:r w:rsidR="00BE4282">
        <w:t>The responsibilities of the deferred employer will be set out in the legal agreement and these will include the requirements to:</w:t>
      </w:r>
    </w:p>
    <w:p w14:paraId="27E31F8E" w14:textId="484694E2" w:rsidR="00BE4282" w:rsidRPr="00B87EDE" w:rsidRDefault="00BE4282" w:rsidP="00BE4282">
      <w:pPr>
        <w:pStyle w:val="List"/>
      </w:pPr>
      <w:r w:rsidRPr="00B87EDE">
        <w:t xml:space="preserve">comply with all the requirements on Scheme employers under the Regulations except the requirement </w:t>
      </w:r>
      <w:r w:rsidRPr="00B21077">
        <w:t xml:space="preserve">to pay a primary rate of contributions but including </w:t>
      </w:r>
      <w:r w:rsidR="000D32F6">
        <w:t xml:space="preserve">secondary contributions and </w:t>
      </w:r>
      <w:r w:rsidRPr="00B21077">
        <w:t>any additional applicable costs, such as strain costs as a result of ill health retirements</w:t>
      </w:r>
      <w:r w:rsidR="000D32F6">
        <w:t xml:space="preserve">. The </w:t>
      </w:r>
      <w:proofErr w:type="gramStart"/>
      <w:r w:rsidR="000D32F6">
        <w:t>amount</w:t>
      </w:r>
      <w:proofErr w:type="gramEnd"/>
      <w:r w:rsidR="000D32F6">
        <w:t xml:space="preserve"> of secondary </w:t>
      </w:r>
      <w:r w:rsidR="000D32F6">
        <w:lastRenderedPageBreak/>
        <w:t xml:space="preserve">contributions will be set out in a legal agreement an certified by the </w:t>
      </w:r>
      <w:r w:rsidR="00706F2F">
        <w:t>Fund A</w:t>
      </w:r>
      <w:r w:rsidR="000D32F6">
        <w:t>ctuary in the Rates and Adjustment certificate</w:t>
      </w:r>
    </w:p>
    <w:p w14:paraId="56CB6839" w14:textId="61B2BD88" w:rsidR="00BE4282" w:rsidRDefault="00BE4282" w:rsidP="00CB755E">
      <w:pPr>
        <w:pStyle w:val="List"/>
      </w:pPr>
      <w:r w:rsidRPr="00BE4282">
        <w:t xml:space="preserve">adopt the relevant practices and procedures relating to the operation of the Scheme and the Fund as set out in any employer’s guide produced by the </w:t>
      </w:r>
      <w:r>
        <w:t>a</w:t>
      </w:r>
      <w:r w:rsidRPr="00BE4282">
        <w:t xml:space="preserve">dministering </w:t>
      </w:r>
      <w:proofErr w:type="gramStart"/>
      <w:r>
        <w:t>authority;</w:t>
      </w:r>
      <w:proofErr w:type="gramEnd"/>
    </w:p>
    <w:p w14:paraId="3AF6CAA7" w14:textId="2D4411FF" w:rsidR="00BE4282" w:rsidRDefault="00BE4282" w:rsidP="00CB755E">
      <w:pPr>
        <w:pStyle w:val="List"/>
      </w:pPr>
      <w:r w:rsidRPr="00BE4282">
        <w:t xml:space="preserve">comply with all applicable requirements of data protection law relating to the Scheme and with the provisions of any data-sharing protocol produced by the </w:t>
      </w:r>
      <w:r>
        <w:t>a</w:t>
      </w:r>
      <w:r w:rsidRPr="00BE4282">
        <w:t xml:space="preserve">dministering </w:t>
      </w:r>
      <w:r>
        <w:t>a</w:t>
      </w:r>
      <w:r w:rsidRPr="00BE4282">
        <w:t xml:space="preserve">uthority and provided to the </w:t>
      </w:r>
      <w:r>
        <w:t>d</w:t>
      </w:r>
      <w:r w:rsidRPr="00BE4282">
        <w:t xml:space="preserve">eferred </w:t>
      </w:r>
      <w:proofErr w:type="gramStart"/>
      <w:r>
        <w:t>e</w:t>
      </w:r>
      <w:r w:rsidRPr="00BE4282">
        <w:t>mployer</w:t>
      </w:r>
      <w:r>
        <w:t>;</w:t>
      </w:r>
      <w:proofErr w:type="gramEnd"/>
    </w:p>
    <w:p w14:paraId="63A8D4B1" w14:textId="067E614D" w:rsidR="00BE4282" w:rsidRDefault="00BE4282" w:rsidP="00BE4282">
      <w:pPr>
        <w:pStyle w:val="List"/>
      </w:pPr>
      <w:r>
        <w:t>promptly provide all such information that the administering authority may reasonably request in order to administer and manage the agreement; and</w:t>
      </w:r>
    </w:p>
    <w:p w14:paraId="2773244D" w14:textId="212F3515" w:rsidR="00BE4282" w:rsidRDefault="00BE4282" w:rsidP="00CB755E">
      <w:pPr>
        <w:pStyle w:val="List"/>
      </w:pPr>
      <w:r w:rsidRPr="00BE4282">
        <w:t xml:space="preserve">give notice to the </w:t>
      </w:r>
      <w:r>
        <w:t>a</w:t>
      </w:r>
      <w:r w:rsidRPr="00BE4282">
        <w:t xml:space="preserve">dministering </w:t>
      </w:r>
      <w:r>
        <w:t>a</w:t>
      </w:r>
      <w:r w:rsidRPr="00BE4282">
        <w:t>uthority, of any actual or proposed change in its status, including take-over, change of control, reconstruction, amalgamation, insolvency, winding up, liquidation or receivership or a material change to its business or constitution.</w:t>
      </w:r>
    </w:p>
    <w:p w14:paraId="2BDE57EA" w14:textId="0BECB577" w:rsidR="00E14CFE" w:rsidRDefault="00E14CFE" w:rsidP="0090446E">
      <w:pPr>
        <w:pStyle w:val="BodyText"/>
      </w:pPr>
      <w:r>
        <w:t xml:space="preserve">The </w:t>
      </w:r>
      <w:r w:rsidR="00A35B05">
        <w:t xml:space="preserve">deferred </w:t>
      </w:r>
      <w:r>
        <w:t xml:space="preserve">employer should consult with their auditors about any impacts the DDA is expected to have on their accounting requirements. </w:t>
      </w:r>
    </w:p>
    <w:p w14:paraId="3CCDB261" w14:textId="21C89EAA" w:rsidR="00E14CFE" w:rsidRDefault="00E14CFE" w:rsidP="00CB755E">
      <w:pPr>
        <w:pStyle w:val="Heading2"/>
      </w:pPr>
      <w:bookmarkStart w:id="11" w:name="_Toc62462625"/>
      <w:bookmarkStart w:id="12" w:name="_Toc63178020"/>
      <w:r>
        <w:t xml:space="preserve">Monitoring </w:t>
      </w:r>
      <w:bookmarkEnd w:id="11"/>
      <w:r w:rsidR="00DF4CD6">
        <w:t>a</w:t>
      </w:r>
      <w:r w:rsidR="00D32868">
        <w:t xml:space="preserve"> </w:t>
      </w:r>
      <w:r w:rsidR="00DF4CD6">
        <w:t>DDA</w:t>
      </w:r>
      <w:bookmarkEnd w:id="12"/>
    </w:p>
    <w:p w14:paraId="6DDE9B94" w14:textId="1014B8CB" w:rsidR="00E14CFE" w:rsidRDefault="00E14CFE" w:rsidP="00E14CFE">
      <w:pPr>
        <w:pStyle w:val="BodyText"/>
      </w:pPr>
      <w:r>
        <w:t xml:space="preserve">A deferred debt agreement is subject to the ongoing approval of the administering authority. </w:t>
      </w:r>
      <w:r w:rsidR="002A5772">
        <w:t>T</w:t>
      </w:r>
      <w:r>
        <w:t>he administering authority reserves the right to terminate the agreement should they become concerned about a significant weakening in the deferred employer’s covenant</w:t>
      </w:r>
      <w:r w:rsidR="00C27411">
        <w:t xml:space="preserve"> or a significant change in funding position</w:t>
      </w:r>
      <w:r>
        <w:t xml:space="preserve">. Conversely, if there was an improvement in the employer’s circumstance then the administering authority and employer may agree to </w:t>
      </w:r>
      <w:r w:rsidR="002A5772">
        <w:t>amend the terms of the agreement</w:t>
      </w:r>
      <w:r>
        <w:t xml:space="preserve">. </w:t>
      </w:r>
    </w:p>
    <w:p w14:paraId="10037F72" w14:textId="0FCBED57" w:rsidR="00E14CFE" w:rsidRDefault="00E14CFE" w:rsidP="00E14CFE">
      <w:pPr>
        <w:pStyle w:val="BodyText"/>
      </w:pPr>
      <w:r>
        <w:t>The administering authority will monitor a DDA in the following ways:</w:t>
      </w:r>
    </w:p>
    <w:p w14:paraId="1D5CDE67" w14:textId="061196AC" w:rsidR="00C27411" w:rsidRPr="00131048" w:rsidRDefault="00C27411" w:rsidP="00E14CFE">
      <w:pPr>
        <w:pStyle w:val="BodyText"/>
        <w:rPr>
          <w:b/>
        </w:rPr>
      </w:pPr>
      <w:r w:rsidRPr="00131048">
        <w:rPr>
          <w:b/>
        </w:rPr>
        <w:t>Changing funding position</w:t>
      </w:r>
    </w:p>
    <w:p w14:paraId="2B7BE985" w14:textId="5173D9CE" w:rsidR="00C27411" w:rsidRDefault="00C27411" w:rsidP="00E14CFE">
      <w:pPr>
        <w:pStyle w:val="BodyText"/>
      </w:pPr>
      <w:r w:rsidRPr="00B21077">
        <w:t xml:space="preserve">The administering authority will request </w:t>
      </w:r>
      <w:r w:rsidR="00F03751" w:rsidRPr="00B21077">
        <w:t>regular, and at least</w:t>
      </w:r>
      <w:r w:rsidRPr="00B21077">
        <w:t xml:space="preserve"> annual</w:t>
      </w:r>
      <w:r w:rsidR="00F03751" w:rsidRPr="00B21077">
        <w:t>,</w:t>
      </w:r>
      <w:r w:rsidRPr="00B21077">
        <w:t xml:space="preserve"> update</w:t>
      </w:r>
      <w:r w:rsidR="00F03751" w:rsidRPr="00B21077">
        <w:t>s</w:t>
      </w:r>
      <w:r w:rsidRPr="00B21077">
        <w:t xml:space="preserve"> of the deferred employer’s funding position in order to review the progress of the DDA. The costs of the regular reviews will fall to the deferred employer as part of the terms for putting in place a DDA.</w:t>
      </w:r>
    </w:p>
    <w:p w14:paraId="2A0B4D40" w14:textId="6477A786" w:rsidR="00C27411" w:rsidRDefault="00C27411" w:rsidP="00E14CFE">
      <w:pPr>
        <w:pStyle w:val="BodyText"/>
      </w:pPr>
      <w:r>
        <w:t xml:space="preserve">If the funding position changes by more </w:t>
      </w:r>
      <w:r w:rsidRPr="00A94AD5">
        <w:t xml:space="preserve">than 10% (in absolute terms) </w:t>
      </w:r>
      <w:r w:rsidR="0005281D" w:rsidRPr="00A94AD5">
        <w:t xml:space="preserve">from the previous </w:t>
      </w:r>
      <w:proofErr w:type="gramStart"/>
      <w:r w:rsidR="0005281D" w:rsidRPr="00A94AD5">
        <w:t>review</w:t>
      </w:r>
      <w:proofErr w:type="gramEnd"/>
      <w:r w:rsidR="00B43EF6" w:rsidRPr="00A94AD5">
        <w:t xml:space="preserve"> </w:t>
      </w:r>
      <w:r w:rsidRPr="00A94AD5">
        <w:t>then</w:t>
      </w:r>
      <w:r>
        <w:t xml:space="preserve"> the administering authority </w:t>
      </w:r>
      <w:r w:rsidR="00C00878">
        <w:t>may</w:t>
      </w:r>
      <w:r>
        <w:t xml:space="preserve"> engage with the </w:t>
      </w:r>
      <w:r w:rsidR="007538BD">
        <w:t>deferred employer to discuss a possible review of the DDA.</w:t>
      </w:r>
    </w:p>
    <w:p w14:paraId="713CE37F" w14:textId="424C9626" w:rsidR="00E14CFE" w:rsidRPr="00B21077" w:rsidRDefault="002A5772" w:rsidP="00CB755E">
      <w:pPr>
        <w:pStyle w:val="BodyText"/>
        <w:rPr>
          <w:b/>
        </w:rPr>
      </w:pPr>
      <w:r w:rsidRPr="00B21077">
        <w:rPr>
          <w:b/>
        </w:rPr>
        <w:t>Changing employer covenant</w:t>
      </w:r>
    </w:p>
    <w:p w14:paraId="40D9FB1E" w14:textId="0776EB9E" w:rsidR="002A5772" w:rsidRPr="00B21077" w:rsidRDefault="00E14CFE" w:rsidP="00E14CFE">
      <w:pPr>
        <w:pStyle w:val="BodyText"/>
      </w:pPr>
      <w:r w:rsidRPr="00B21077">
        <w:t xml:space="preserve">The administering authority monitors the level of covenant of its Scheme employers on an ongoing basis. In particular, the administering authority </w:t>
      </w:r>
      <w:r w:rsidR="00B21077" w:rsidRPr="00B21077">
        <w:t>may commission</w:t>
      </w:r>
      <w:r w:rsidRPr="00B21077">
        <w:t xml:space="preserve"> an employer risk review report from the Fund Actuary each </w:t>
      </w:r>
      <w:r w:rsidR="002A5772" w:rsidRPr="00B21077">
        <w:t xml:space="preserve">actuarial </w:t>
      </w:r>
      <w:r w:rsidRPr="00B21077">
        <w:t xml:space="preserve">valuation cycle which includes </w:t>
      </w:r>
      <w:r w:rsidR="002A5772" w:rsidRPr="00B21077">
        <w:t xml:space="preserve">obtaining </w:t>
      </w:r>
      <w:r w:rsidRPr="00B21077">
        <w:t xml:space="preserve">credit </w:t>
      </w:r>
      <w:r w:rsidR="002A5772" w:rsidRPr="00B21077">
        <w:t>ratings from credit rating agencies</w:t>
      </w:r>
      <w:r w:rsidRPr="00B21077">
        <w:t xml:space="preserve">. </w:t>
      </w:r>
    </w:p>
    <w:p w14:paraId="47F069FC" w14:textId="301A1A04" w:rsidR="00E14CFE" w:rsidRDefault="00E14CFE" w:rsidP="00E14CFE">
      <w:pPr>
        <w:pStyle w:val="BodyText"/>
      </w:pPr>
      <w:r w:rsidRPr="00B21077">
        <w:t xml:space="preserve">Once an employer </w:t>
      </w:r>
      <w:proofErr w:type="gramStart"/>
      <w:r w:rsidRPr="00B21077">
        <w:t>enters into</w:t>
      </w:r>
      <w:proofErr w:type="gramEnd"/>
      <w:r w:rsidRPr="00B21077">
        <w:t xml:space="preserve"> a DDA, the administering authority will </w:t>
      </w:r>
      <w:r w:rsidR="002A5772" w:rsidRPr="00B21077">
        <w:t xml:space="preserve">review the employer’s </w:t>
      </w:r>
      <w:r w:rsidR="007538BD" w:rsidRPr="00B21077">
        <w:t>covenant</w:t>
      </w:r>
      <w:r w:rsidRPr="00B21077">
        <w:t xml:space="preserve"> on a </w:t>
      </w:r>
      <w:r w:rsidR="007538BD" w:rsidRPr="00B21077">
        <w:t xml:space="preserve">regular </w:t>
      </w:r>
      <w:r w:rsidRPr="00B21077">
        <w:t>basis</w:t>
      </w:r>
      <w:r w:rsidR="007538BD" w:rsidRPr="00B21077">
        <w:t xml:space="preserve"> and details of this will be agreed for each DDA on an individual basis</w:t>
      </w:r>
      <w:r w:rsidRPr="00B21077">
        <w:t>.</w:t>
      </w:r>
      <w:r>
        <w:t xml:space="preserve"> If a deferred employer’s </w:t>
      </w:r>
      <w:r w:rsidR="007538BD">
        <w:t>covenant</w:t>
      </w:r>
      <w:r w:rsidR="002A5772">
        <w:t xml:space="preserve"> </w:t>
      </w:r>
      <w:r>
        <w:t xml:space="preserve">deteriorates, the administering authority may issue a notice to </w:t>
      </w:r>
      <w:r w:rsidR="002A5772">
        <w:t xml:space="preserve">review and possibly </w:t>
      </w:r>
      <w:r>
        <w:t xml:space="preserve">terminate the agreements. </w:t>
      </w:r>
    </w:p>
    <w:p w14:paraId="6D1EC348" w14:textId="3CFDF0EB" w:rsidR="00E14CFE" w:rsidRDefault="00E14CFE" w:rsidP="00E14CFE">
      <w:pPr>
        <w:pStyle w:val="BodyText"/>
      </w:pPr>
      <w:r>
        <w:t xml:space="preserve">In addition, if a deferred employer requests an extension to the duration of the </w:t>
      </w:r>
      <w:r w:rsidR="002A5772">
        <w:t xml:space="preserve">DDA </w:t>
      </w:r>
      <w:r>
        <w:t xml:space="preserve">the administering authority will </w:t>
      </w:r>
      <w:r w:rsidR="002A5772">
        <w:t xml:space="preserve">consider an </w:t>
      </w:r>
      <w:r>
        <w:t xml:space="preserve">updated </w:t>
      </w:r>
      <w:r w:rsidR="007538BD">
        <w:t xml:space="preserve">covenant review, </w:t>
      </w:r>
      <w:r w:rsidR="002A5772">
        <w:t>amongst other factors</w:t>
      </w:r>
      <w:r w:rsidR="007538BD">
        <w:t>, in assessing the proposal</w:t>
      </w:r>
      <w:r>
        <w:t xml:space="preserve">. </w:t>
      </w:r>
    </w:p>
    <w:p w14:paraId="554C96D1" w14:textId="3ECF78A3" w:rsidR="000C6435" w:rsidRDefault="000C6435" w:rsidP="00E14CFE">
      <w:pPr>
        <w:pStyle w:val="BodyText"/>
      </w:pPr>
      <w:r>
        <w:lastRenderedPageBreak/>
        <w:t xml:space="preserve">As a condition of </w:t>
      </w:r>
      <w:proofErr w:type="gramStart"/>
      <w:r>
        <w:t>entering into</w:t>
      </w:r>
      <w:proofErr w:type="gramEnd"/>
      <w:r>
        <w:t xml:space="preserve"> a DDA, the deferred employer is required to engage with the administering authority to assist with monitoring the level of covenant, for example by providing information requested by the administering authority in a timely manner. </w:t>
      </w:r>
    </w:p>
    <w:p w14:paraId="5036A016" w14:textId="71CD96BB" w:rsidR="00E14CFE" w:rsidRPr="00CB755E" w:rsidRDefault="002A5772" w:rsidP="00CB755E">
      <w:pPr>
        <w:pStyle w:val="BodyText"/>
        <w:rPr>
          <w:b/>
        </w:rPr>
      </w:pPr>
      <w:r w:rsidRPr="00CB755E">
        <w:rPr>
          <w:b/>
        </w:rPr>
        <w:t xml:space="preserve">Timeliness </w:t>
      </w:r>
      <w:r w:rsidR="00E14CFE" w:rsidRPr="00CB755E">
        <w:rPr>
          <w:b/>
        </w:rPr>
        <w:t>of payments</w:t>
      </w:r>
    </w:p>
    <w:p w14:paraId="5AA83A71" w14:textId="0D4002EE" w:rsidR="00E14CFE" w:rsidRDefault="00C97DD4" w:rsidP="00E14CFE">
      <w:pPr>
        <w:pStyle w:val="BodyText"/>
      </w:pPr>
      <w:r>
        <w:t xml:space="preserve">The agreement will set out </w:t>
      </w:r>
      <w:r w:rsidR="00706F2F">
        <w:t>the monthly</w:t>
      </w:r>
      <w:r>
        <w:t xml:space="preserve"> payments, and t</w:t>
      </w:r>
      <w:r w:rsidR="00E14CFE">
        <w:t xml:space="preserve">he administering authority will monitor if contributions are paid on time. Successive late or </w:t>
      </w:r>
      <w:proofErr w:type="gramStart"/>
      <w:r w:rsidR="00E14CFE">
        <w:t>in particular missing</w:t>
      </w:r>
      <w:proofErr w:type="gramEnd"/>
      <w:r w:rsidR="00E14CFE">
        <w:t xml:space="preserve"> payments would contribute towards a notice </w:t>
      </w:r>
      <w:r w:rsidR="00D32868">
        <w:t xml:space="preserve">being issued to the deferred employer </w:t>
      </w:r>
      <w:r w:rsidR="00E14CFE">
        <w:t xml:space="preserve">to </w:t>
      </w:r>
      <w:r w:rsidR="007538BD">
        <w:t xml:space="preserve">review and possibly </w:t>
      </w:r>
      <w:r w:rsidR="00E14CFE">
        <w:t xml:space="preserve">terminate the agreement. </w:t>
      </w:r>
    </w:p>
    <w:p w14:paraId="02D6E1B6" w14:textId="696FA8E8" w:rsidR="00E14CFE" w:rsidRPr="00CB755E" w:rsidRDefault="002A5772" w:rsidP="00CB755E">
      <w:pPr>
        <w:pStyle w:val="BodyText"/>
        <w:rPr>
          <w:b/>
        </w:rPr>
      </w:pPr>
      <w:r w:rsidRPr="00CB755E">
        <w:rPr>
          <w:b/>
        </w:rPr>
        <w:t xml:space="preserve">Strength </w:t>
      </w:r>
      <w:r w:rsidR="00E14CFE" w:rsidRPr="00CB755E">
        <w:rPr>
          <w:b/>
        </w:rPr>
        <w:t>of guarantee</w:t>
      </w:r>
      <w:r w:rsidR="00DC1601">
        <w:rPr>
          <w:b/>
        </w:rPr>
        <w:t xml:space="preserve"> or security</w:t>
      </w:r>
    </w:p>
    <w:p w14:paraId="089DC2BC" w14:textId="1053EB39" w:rsidR="00E14CFE" w:rsidRPr="00E731B4" w:rsidRDefault="00E14CFE" w:rsidP="00E14CFE">
      <w:pPr>
        <w:pStyle w:val="BodyText"/>
      </w:pPr>
      <w:r>
        <w:t xml:space="preserve">If a particular </w:t>
      </w:r>
      <w:r w:rsidR="00D32868">
        <w:t xml:space="preserve">funding </w:t>
      </w:r>
      <w:r>
        <w:t xml:space="preserve">basis has been used by the Fund Actuary on the understanding that there is a particular security in place (e.g. another employer in the Fund willing to underwrite the residual deferred and pensioner liabilities when the employer formally exits) then the administering authority will check there has been no change to the security </w:t>
      </w:r>
      <w:r w:rsidR="000D32F6">
        <w:t xml:space="preserve">usually on an annual </w:t>
      </w:r>
      <w:proofErr w:type="gramStart"/>
      <w:r w:rsidR="000D32F6" w:rsidRPr="00D532D2">
        <w:t xml:space="preserve">basis </w:t>
      </w:r>
      <w:r w:rsidR="007538BD" w:rsidRPr="00D532D2">
        <w:t xml:space="preserve"> </w:t>
      </w:r>
      <w:r w:rsidR="000D32F6" w:rsidRPr="00D532D2">
        <w:t>but</w:t>
      </w:r>
      <w:proofErr w:type="gramEnd"/>
      <w:r w:rsidR="007538BD" w:rsidRPr="00D532D2">
        <w:t xml:space="preserve"> as a minimum at </w:t>
      </w:r>
      <w:r w:rsidRPr="00D532D2">
        <w:t>each valuation cycle. The Fund</w:t>
      </w:r>
      <w:r>
        <w:t xml:space="preserve"> Actuary may change the funding basis used to </w:t>
      </w:r>
      <w:r w:rsidR="00D32868">
        <w:t xml:space="preserve">set the </w:t>
      </w:r>
      <w:r w:rsidR="00A35B05">
        <w:t xml:space="preserve">deferred </w:t>
      </w:r>
      <w:r w:rsidR="00D32868">
        <w:t>employer’s contributions</w:t>
      </w:r>
      <w:r>
        <w:t xml:space="preserve"> depending on the strength of the security in place. </w:t>
      </w:r>
    </w:p>
    <w:p w14:paraId="274461F2" w14:textId="1986843A" w:rsidR="00E14CFE" w:rsidRPr="00CB755E" w:rsidRDefault="00D32868" w:rsidP="00CB755E">
      <w:pPr>
        <w:pStyle w:val="BodyText"/>
        <w:rPr>
          <w:b/>
        </w:rPr>
      </w:pPr>
      <w:r w:rsidRPr="00CB755E">
        <w:rPr>
          <w:b/>
        </w:rPr>
        <w:t xml:space="preserve">Notifiable events from </w:t>
      </w:r>
      <w:r w:rsidR="00E14CFE" w:rsidRPr="00CB755E">
        <w:rPr>
          <w:b/>
        </w:rPr>
        <w:t>the deferred employer</w:t>
      </w:r>
    </w:p>
    <w:p w14:paraId="056E3B81" w14:textId="445C4CF4" w:rsidR="00E14CFE" w:rsidRDefault="00E14CFE" w:rsidP="00E14CFE">
      <w:pPr>
        <w:pStyle w:val="BodyText"/>
      </w:pPr>
      <w:r>
        <w:t>The deferred employer has a responsibility to make the administering authority aware of any changes in their ability to make payments or of a change in circumstance (</w:t>
      </w:r>
      <w:proofErr w:type="gramStart"/>
      <w:r w:rsidR="00D32868">
        <w:t>e.g.</w:t>
      </w:r>
      <w:proofErr w:type="gramEnd"/>
      <w:r>
        <w:t xml:space="preserve"> a change of the guarantee in place mentioned above). Information </w:t>
      </w:r>
      <w:r w:rsidR="00D32868">
        <w:t xml:space="preserve">should </w:t>
      </w:r>
      <w:r>
        <w:t>be shared with the administering authority at any time throughout the agreement</w:t>
      </w:r>
      <w:r w:rsidR="00D32868">
        <w:t xml:space="preserve"> to enable the administering authority to consider whether a review of the agreement should be carried out</w:t>
      </w:r>
      <w:r>
        <w:t xml:space="preserve">. </w:t>
      </w:r>
    </w:p>
    <w:p w14:paraId="6A2AFB4D" w14:textId="542F07B4" w:rsidR="00E14CFE" w:rsidRDefault="00E14CFE" w:rsidP="00CB755E">
      <w:pPr>
        <w:pStyle w:val="Heading2"/>
      </w:pPr>
      <w:bookmarkStart w:id="13" w:name="_Toc62462626"/>
      <w:bookmarkStart w:id="14" w:name="_Toc63178021"/>
      <w:r>
        <w:t xml:space="preserve">Terminating a </w:t>
      </w:r>
      <w:bookmarkEnd w:id="13"/>
      <w:r w:rsidR="00DF4CD6">
        <w:t>DDA</w:t>
      </w:r>
      <w:bookmarkEnd w:id="14"/>
    </w:p>
    <w:p w14:paraId="713741E9" w14:textId="3DAACACD" w:rsidR="00066AC0" w:rsidRDefault="00066AC0" w:rsidP="00CB755E">
      <w:pPr>
        <w:pStyle w:val="Heading3"/>
      </w:pPr>
      <w:bookmarkStart w:id="15" w:name="_Toc63178022"/>
      <w:r>
        <w:t>Events that may terminate a DDA</w:t>
      </w:r>
      <w:bookmarkEnd w:id="15"/>
    </w:p>
    <w:p w14:paraId="0DF7AB18" w14:textId="6C360C42" w:rsidR="00E14CFE" w:rsidRDefault="00E14CFE" w:rsidP="00E14CFE">
      <w:pPr>
        <w:pStyle w:val="BodyText"/>
      </w:pPr>
      <w:r>
        <w:t>As set out in Regulation</w:t>
      </w:r>
      <w:r w:rsidR="00D32868">
        <w:t xml:space="preserve"> 64(7E)</w:t>
      </w:r>
      <w:r>
        <w:t>, the DDA terminates on the first o</w:t>
      </w:r>
      <w:r w:rsidR="00C97DD4">
        <w:t>f</w:t>
      </w:r>
      <w:r>
        <w:t xml:space="preserve"> the following</w:t>
      </w:r>
      <w:r w:rsidR="00C97DD4">
        <w:t xml:space="preserve"> events</w:t>
      </w:r>
      <w:r>
        <w:t>:</w:t>
      </w:r>
    </w:p>
    <w:p w14:paraId="716B5D54" w14:textId="77777777" w:rsidR="00E14CFE" w:rsidRDefault="00E14CFE" w:rsidP="00E14CFE">
      <w:pPr>
        <w:pStyle w:val="List"/>
      </w:pPr>
      <w:r>
        <w:t xml:space="preserve">the deferred employer enrols new active </w:t>
      </w:r>
      <w:proofErr w:type="gramStart"/>
      <w:r>
        <w:t>members;</w:t>
      </w:r>
      <w:proofErr w:type="gramEnd"/>
    </w:p>
    <w:p w14:paraId="3EE866C3" w14:textId="77777777" w:rsidR="00E14CFE" w:rsidRDefault="00E14CFE" w:rsidP="00E14CFE">
      <w:pPr>
        <w:pStyle w:val="List"/>
      </w:pPr>
      <w:r>
        <w:t xml:space="preserve">the duration of the agreement has </w:t>
      </w:r>
      <w:proofErr w:type="gramStart"/>
      <w:r>
        <w:t>elapsed;</w:t>
      </w:r>
      <w:proofErr w:type="gramEnd"/>
    </w:p>
    <w:p w14:paraId="74BB1B6E" w14:textId="77777777" w:rsidR="00E14CFE" w:rsidRDefault="00E14CFE" w:rsidP="00E14CFE">
      <w:pPr>
        <w:pStyle w:val="List"/>
      </w:pPr>
      <w:r>
        <w:t xml:space="preserve">the take-over, amalgamation, insolvency, winding up or liquidation of the deferred </w:t>
      </w:r>
      <w:proofErr w:type="gramStart"/>
      <w:r>
        <w:t>employer;</w:t>
      </w:r>
      <w:proofErr w:type="gramEnd"/>
    </w:p>
    <w:p w14:paraId="49184DEF" w14:textId="27600F4A" w:rsidR="00E14CFE" w:rsidRDefault="00E14CFE" w:rsidP="00E14CFE">
      <w:pPr>
        <w:pStyle w:val="List"/>
      </w:pPr>
      <w:r>
        <w:t xml:space="preserve">the administering authority serves a notice on the deferred employer that </w:t>
      </w:r>
      <w:r w:rsidR="00D32868">
        <w:t>it is reasonably satisfied that</w:t>
      </w:r>
      <w:r>
        <w:t xml:space="preserve"> the employer’s ability to </w:t>
      </w:r>
      <w:r w:rsidR="00D32868">
        <w:t xml:space="preserve">meet the </w:t>
      </w:r>
      <w:r>
        <w:t xml:space="preserve">contributions </w:t>
      </w:r>
      <w:r w:rsidR="00D32868">
        <w:t xml:space="preserve">payable under the DDA </w:t>
      </w:r>
      <w:r>
        <w:t>has weakened materially (or is likely to in the next 12 months); or</w:t>
      </w:r>
    </w:p>
    <w:p w14:paraId="4472B725" w14:textId="0EA4F871" w:rsidR="00E14CFE" w:rsidRDefault="00C736A7" w:rsidP="00E14CFE">
      <w:pPr>
        <w:pStyle w:val="List"/>
      </w:pPr>
      <w:r>
        <w:t xml:space="preserve">a review of the funding position of the deferred employer is carried out </w:t>
      </w:r>
      <w:r w:rsidR="0027773D">
        <w:t>at</w:t>
      </w:r>
      <w:r>
        <w:t xml:space="preserve"> an updated calculation date and </w:t>
      </w:r>
      <w:r w:rsidR="00E14CFE">
        <w:t xml:space="preserve">the Fund </w:t>
      </w:r>
      <w:r w:rsidR="00C97DD4">
        <w:t>A</w:t>
      </w:r>
      <w:r w:rsidR="00E14CFE">
        <w:t xml:space="preserve">ctuary assesses that the deferred employer has paid sufficient secondary contributions </w:t>
      </w:r>
      <w:r w:rsidR="00066AC0">
        <w:t xml:space="preserve">to cover what </w:t>
      </w:r>
      <w:r w:rsidR="00E14CFE">
        <w:t xml:space="preserve">would </w:t>
      </w:r>
      <w:r>
        <w:t>be</w:t>
      </w:r>
      <w:r w:rsidR="00E14CFE">
        <w:t xml:space="preserve"> due </w:t>
      </w:r>
      <w:r>
        <w:t xml:space="preserve">if </w:t>
      </w:r>
      <w:r w:rsidR="00E14CFE">
        <w:t xml:space="preserve">the </w:t>
      </w:r>
      <w:r w:rsidR="00A35B05">
        <w:t xml:space="preserve">deferred </w:t>
      </w:r>
      <w:r w:rsidR="00E14CFE">
        <w:t xml:space="preserve">employer terminated </w:t>
      </w:r>
      <w:r w:rsidR="00117A8F">
        <w:t xml:space="preserve">at the </w:t>
      </w:r>
      <w:r>
        <w:t xml:space="preserve">updated </w:t>
      </w:r>
      <w:r w:rsidR="00117A8F">
        <w:t>calculation</w:t>
      </w:r>
      <w:r w:rsidR="00E14CFE">
        <w:t xml:space="preserve"> date</w:t>
      </w:r>
      <w:r w:rsidR="00117A8F">
        <w:t xml:space="preserve">; in other </w:t>
      </w:r>
      <w:proofErr w:type="gramStart"/>
      <w:r w:rsidR="00117A8F">
        <w:t>words</w:t>
      </w:r>
      <w:proofErr w:type="gramEnd"/>
      <w:r w:rsidR="00117A8F">
        <w:t xml:space="preserve"> </w:t>
      </w:r>
      <w:r>
        <w:t xml:space="preserve">the review </w:t>
      </w:r>
      <w:r w:rsidR="00117A8F">
        <w:t xml:space="preserve">reveals </w:t>
      </w:r>
      <w:r>
        <w:t>no deficit remains on the relevant calculation basis</w:t>
      </w:r>
      <w:r w:rsidR="00E14CFE">
        <w:t xml:space="preserve">. </w:t>
      </w:r>
    </w:p>
    <w:p w14:paraId="02580487" w14:textId="7AA5211F" w:rsidR="00066AC0" w:rsidRDefault="001A4FA6" w:rsidP="0090446E">
      <w:pPr>
        <w:pStyle w:val="BodyText"/>
      </w:pPr>
      <w:r>
        <w:t>T</w:t>
      </w:r>
      <w:r w:rsidR="00E14CFE">
        <w:t xml:space="preserve">he deferred employer can </w:t>
      </w:r>
      <w:r w:rsidR="00D32868">
        <w:t xml:space="preserve">also </w:t>
      </w:r>
      <w:r w:rsidR="00E14CFE">
        <w:t xml:space="preserve">choose to </w:t>
      </w:r>
      <w:r w:rsidR="00D32868">
        <w:t>terminate the DDA at any point. Notice should be given to the administering authority</w:t>
      </w:r>
      <w:r w:rsidR="00066AC0">
        <w:t xml:space="preserve"> at the earliest opportunity</w:t>
      </w:r>
      <w:r w:rsidR="00E14CFE">
        <w:t xml:space="preserve">. </w:t>
      </w:r>
    </w:p>
    <w:p w14:paraId="24051AED" w14:textId="44F8F44A" w:rsidR="00E14CFE" w:rsidRDefault="00066AC0" w:rsidP="0090446E">
      <w:pPr>
        <w:pStyle w:val="BodyText"/>
      </w:pPr>
      <w:r>
        <w:t>Termination clauses will be included in the formal DDA legal agreement.</w:t>
      </w:r>
    </w:p>
    <w:p w14:paraId="1DC09E9D" w14:textId="65F0DFF7" w:rsidR="00066AC0" w:rsidRDefault="00066AC0" w:rsidP="00CB755E">
      <w:pPr>
        <w:pStyle w:val="Heading3"/>
      </w:pPr>
      <w:bookmarkStart w:id="16" w:name="_Toc63178023"/>
      <w:r>
        <w:lastRenderedPageBreak/>
        <w:t>Process of termination</w:t>
      </w:r>
      <w:bookmarkEnd w:id="16"/>
    </w:p>
    <w:p w14:paraId="5B06CD7F" w14:textId="0EF4BD61" w:rsidR="00066AC0" w:rsidRDefault="00066AC0" w:rsidP="0090446E">
      <w:pPr>
        <w:pStyle w:val="BodyText"/>
      </w:pPr>
      <w:r>
        <w:t xml:space="preserve">Once a termination of the DDA has been triggered, the </w:t>
      </w:r>
      <w:r w:rsidR="00A35B05">
        <w:t xml:space="preserve">deferred </w:t>
      </w:r>
      <w:r>
        <w:t xml:space="preserve">employer becomes an </w:t>
      </w:r>
      <w:proofErr w:type="spellStart"/>
      <w:r>
        <w:t>exiting</w:t>
      </w:r>
      <w:proofErr w:type="spellEnd"/>
      <w:r>
        <w:t xml:space="preserve"> employer under Regulation 64(1).</w:t>
      </w:r>
      <w:r w:rsidR="00964BF1">
        <w:t xml:space="preserve"> The administering authority will obtain from the Fund Actuary an exit valuation </w:t>
      </w:r>
      <w:r w:rsidR="00593BF3">
        <w:t xml:space="preserve">calculated </w:t>
      </w:r>
      <w:r w:rsidR="00964BF1">
        <w:t xml:space="preserve">at the date the DDA terminates, and a revised rates and adjustments certificate setting out the exit payment due from the </w:t>
      </w:r>
      <w:r w:rsidR="00A35B05">
        <w:t xml:space="preserve">exiting </w:t>
      </w:r>
      <w:r w:rsidR="00964BF1">
        <w:t xml:space="preserve">employer or the excess of assets in the Fund relating to the </w:t>
      </w:r>
      <w:r w:rsidR="00A35B05">
        <w:t xml:space="preserve">exiting </w:t>
      </w:r>
      <w:r w:rsidR="00964BF1">
        <w:t>employer</w:t>
      </w:r>
      <w:r w:rsidR="00593BF3">
        <w:t xml:space="preserve"> (which would then be subject to the Fund’s exit credit policy)</w:t>
      </w:r>
      <w:r w:rsidR="00964BF1">
        <w:t>.</w:t>
      </w:r>
    </w:p>
    <w:p w14:paraId="3105BF84" w14:textId="6411F514" w:rsidR="00593BF3" w:rsidRDefault="00593BF3" w:rsidP="00CB755E">
      <w:pPr>
        <w:pStyle w:val="BodyText"/>
      </w:pPr>
      <w:r>
        <w:t>Once the exit payment has been made in full, the exiting employer has no further obligation to the Fund.</w:t>
      </w:r>
    </w:p>
    <w:p w14:paraId="03B09C36" w14:textId="64B8F924" w:rsidR="00E14CFE" w:rsidRDefault="00E14CFE" w:rsidP="00CB755E">
      <w:pPr>
        <w:pStyle w:val="BodyText"/>
      </w:pPr>
      <w:r>
        <w:t xml:space="preserve">If the </w:t>
      </w:r>
      <w:r w:rsidR="00964BF1">
        <w:t xml:space="preserve">termination has been triggered because the </w:t>
      </w:r>
      <w:r w:rsidR="00A35B05">
        <w:t xml:space="preserve">deferred </w:t>
      </w:r>
      <w:r w:rsidR="00964BF1">
        <w:t>employer has enrolled</w:t>
      </w:r>
      <w:r>
        <w:t xml:space="preserve"> new active </w:t>
      </w:r>
      <w:proofErr w:type="gramStart"/>
      <w:r>
        <w:t>members</w:t>
      </w:r>
      <w:proofErr w:type="gramEnd"/>
      <w:r>
        <w:t xml:space="preserve"> then the deferred employer becomes an active employer </w:t>
      </w:r>
      <w:r w:rsidR="00964BF1">
        <w:t xml:space="preserve">in the Fund and an immediate exit payment may not be required; this may instead be </w:t>
      </w:r>
      <w:r w:rsidR="00593BF3">
        <w:t xml:space="preserve">incorporated in the revised rates and adjustments certificate that will be provided in respect of the active employer. </w:t>
      </w:r>
      <w:r>
        <w:t>The employer remains responsible for all previously accrued liabilities</w:t>
      </w:r>
      <w:r w:rsidR="00593BF3">
        <w:t xml:space="preserve"> and the revised contributions required from the</w:t>
      </w:r>
      <w:r w:rsidR="00A35B05">
        <w:t xml:space="preserve"> active</w:t>
      </w:r>
      <w:r w:rsidR="00593BF3">
        <w:t xml:space="preserve"> employer will be calculated in line with the Fund’s FSS</w:t>
      </w:r>
      <w:r>
        <w:t xml:space="preserve">. </w:t>
      </w:r>
    </w:p>
    <w:p w14:paraId="033E31A4" w14:textId="680A026E" w:rsidR="00E14CFE" w:rsidRDefault="00C736A7" w:rsidP="00131048">
      <w:pPr>
        <w:pStyle w:val="BodyText"/>
      </w:pPr>
      <w:r w:rsidRPr="00131048">
        <w:t xml:space="preserve">If the termination has been triggered because </w:t>
      </w:r>
      <w:r w:rsidRPr="00C736A7">
        <w:t xml:space="preserve">a review of the funding position of the deferred employer reveals that </w:t>
      </w:r>
      <w:r w:rsidR="00E14CFE" w:rsidRPr="00131048">
        <w:t xml:space="preserve">the secondary contributions paid to date </w:t>
      </w:r>
      <w:r w:rsidRPr="00131048">
        <w:t xml:space="preserve">by the deferred employer </w:t>
      </w:r>
      <w:r w:rsidR="00E14CFE" w:rsidRPr="00131048">
        <w:t xml:space="preserve">are sufficient to </w:t>
      </w:r>
      <w:r w:rsidRPr="00131048">
        <w:t>cover what would be due if the deferred employer terminated at the updated calculation date</w:t>
      </w:r>
      <w:r w:rsidR="00E14CFE" w:rsidRPr="00131048">
        <w:t xml:space="preserve">, then the deferred employer becomes an </w:t>
      </w:r>
      <w:proofErr w:type="spellStart"/>
      <w:r w:rsidR="00E14CFE" w:rsidRPr="00131048">
        <w:t>exiting</w:t>
      </w:r>
      <w:proofErr w:type="spellEnd"/>
      <w:r w:rsidR="00E14CFE" w:rsidRPr="00131048">
        <w:t xml:space="preserve"> </w:t>
      </w:r>
      <w:proofErr w:type="gramStart"/>
      <w:r w:rsidR="00E14CFE" w:rsidRPr="00131048">
        <w:t>employer</w:t>
      </w:r>
      <w:proofErr w:type="gramEnd"/>
      <w:r w:rsidR="00E14CFE" w:rsidRPr="00131048">
        <w:t xml:space="preserve"> and no further payments are required. The exiting employer has no further obligation to the Fund. </w:t>
      </w:r>
      <w:r w:rsidRPr="00B21077">
        <w:t xml:space="preserve">Where there is a surplus, an exit credit may be payable as determined by the administering authority and in line with the Fund’s exit credit policy. </w:t>
      </w:r>
    </w:p>
    <w:p w14:paraId="630C271A" w14:textId="0DDBA526" w:rsidR="0025084D" w:rsidRDefault="0025084D" w:rsidP="00131048">
      <w:pPr>
        <w:pStyle w:val="BodyText"/>
      </w:pPr>
      <w:r w:rsidRPr="00FB3988">
        <w:t>On termination of a DDA for any reason the administering authority will allocate the exiting or newly active employer to a funding pool or treat as a standalone employer in line with the Fund’s FSS.</w:t>
      </w:r>
      <w:r>
        <w:t xml:space="preserve"> </w:t>
      </w:r>
    </w:p>
    <w:p w14:paraId="7CB40556" w14:textId="6C7F20CF" w:rsidR="00033B06" w:rsidRDefault="00033B06" w:rsidP="00A42BA0">
      <w:pPr>
        <w:pStyle w:val="Heading1"/>
      </w:pPr>
      <w:bookmarkStart w:id="17" w:name="_Toc63178024"/>
      <w:r>
        <w:lastRenderedPageBreak/>
        <w:t>Debt Spreading Agreements (DSAs)</w:t>
      </w:r>
      <w:bookmarkEnd w:id="17"/>
    </w:p>
    <w:p w14:paraId="1595A230" w14:textId="4BE4A416" w:rsidR="00900236" w:rsidRDefault="00A42BA0" w:rsidP="00CB755E">
      <w:pPr>
        <w:pStyle w:val="Heading2"/>
      </w:pPr>
      <w:bookmarkStart w:id="18" w:name="_Toc63178025"/>
      <w:r>
        <w:t xml:space="preserve">Entering a </w:t>
      </w:r>
      <w:r w:rsidR="00DF4CD6">
        <w:t>DSA</w:t>
      </w:r>
      <w:bookmarkEnd w:id="18"/>
    </w:p>
    <w:p w14:paraId="32152061" w14:textId="65C0CD1F" w:rsidR="000C5429" w:rsidRDefault="000C5429" w:rsidP="0090446E">
      <w:pPr>
        <w:pStyle w:val="BodyText"/>
      </w:pPr>
      <w:r w:rsidRPr="000C5429">
        <w:t>Under a DSA, the cessation debt is crystallised and spread</w:t>
      </w:r>
      <w:r w:rsidR="006C0F34">
        <w:t>, with interest,</w:t>
      </w:r>
      <w:r w:rsidRPr="000C5429">
        <w:t xml:space="preserve"> over a period deemed reasonable by the administering authority having regard to the views of the Fund Actuary</w:t>
      </w:r>
      <w:r w:rsidR="00DF7733">
        <w:t xml:space="preserve"> and following discussion with the exiting employer</w:t>
      </w:r>
      <w:r w:rsidRPr="000C5429">
        <w:t>.</w:t>
      </w:r>
      <w:r>
        <w:t xml:space="preserve"> The payments are fixed and are not reviewed at each actuarial valuation.</w:t>
      </w:r>
    </w:p>
    <w:p w14:paraId="5B241D49" w14:textId="1D77AF1E" w:rsidR="00593BF3" w:rsidRDefault="00593BF3" w:rsidP="00CB755E">
      <w:pPr>
        <w:pStyle w:val="Heading3"/>
      </w:pPr>
      <w:bookmarkStart w:id="19" w:name="_Toc63178026"/>
      <w:r w:rsidRPr="00593BF3">
        <w:t>Information required from the employer</w:t>
      </w:r>
      <w:bookmarkEnd w:id="19"/>
    </w:p>
    <w:p w14:paraId="0E81E55E" w14:textId="482999E4" w:rsidR="00593BF3" w:rsidRDefault="00EC1496" w:rsidP="00593BF3">
      <w:pPr>
        <w:pStyle w:val="BodyText"/>
      </w:pPr>
      <w:r w:rsidRPr="00241AE7">
        <w:t>When making a request</w:t>
      </w:r>
      <w:r>
        <w:t xml:space="preserve"> to enter a DSA</w:t>
      </w:r>
      <w:r w:rsidRPr="00241AE7">
        <w:t xml:space="preserve">, the </w:t>
      </w:r>
      <w:r>
        <w:t xml:space="preserve">exiting </w:t>
      </w:r>
      <w:r w:rsidRPr="00241AE7">
        <w:t>employer should demonstrate that they are unable to settle thei</w:t>
      </w:r>
      <w:r>
        <w:t xml:space="preserve">r exit payment immediately and </w:t>
      </w:r>
      <w:r w:rsidRPr="00241AE7">
        <w:t xml:space="preserve">provide any relevant information to support their </w:t>
      </w:r>
      <w:r>
        <w:t xml:space="preserve">request </w:t>
      </w:r>
      <w:proofErr w:type="gramStart"/>
      <w:r>
        <w:t>e.g.</w:t>
      </w:r>
      <w:proofErr w:type="gramEnd"/>
      <w:r>
        <w:t xml:space="preserve"> in relation to their covenant/ability to continue to make payments to the Fund. </w:t>
      </w:r>
      <w:r w:rsidR="00593BF3">
        <w:t>Examples of information the</w:t>
      </w:r>
      <w:r w:rsidR="00DF4CD6">
        <w:t xml:space="preserve"> exiting</w:t>
      </w:r>
      <w:r w:rsidR="00593BF3">
        <w:t xml:space="preserve"> employer may provide as evidence include the employer’s:</w:t>
      </w:r>
    </w:p>
    <w:p w14:paraId="28490843" w14:textId="77777777" w:rsidR="00593BF3" w:rsidRDefault="00593BF3" w:rsidP="00593BF3">
      <w:pPr>
        <w:pStyle w:val="List"/>
      </w:pPr>
      <w:r>
        <w:t>most recent annual report and accounts</w:t>
      </w:r>
    </w:p>
    <w:p w14:paraId="14CEC643" w14:textId="77777777" w:rsidR="00593BF3" w:rsidRDefault="00593BF3" w:rsidP="00593BF3">
      <w:pPr>
        <w:pStyle w:val="List"/>
      </w:pPr>
      <w:r>
        <w:t>latest management accounts</w:t>
      </w:r>
    </w:p>
    <w:p w14:paraId="5B98BC99" w14:textId="77777777" w:rsidR="00593BF3" w:rsidRDefault="00593BF3" w:rsidP="00593BF3">
      <w:pPr>
        <w:pStyle w:val="List"/>
      </w:pPr>
      <w:r>
        <w:t xml:space="preserve">financial forecasts </w:t>
      </w:r>
    </w:p>
    <w:p w14:paraId="0D8825A2" w14:textId="77777777" w:rsidR="00593BF3" w:rsidRDefault="00593BF3" w:rsidP="00593BF3">
      <w:pPr>
        <w:pStyle w:val="List"/>
      </w:pPr>
      <w:r>
        <w:t>details of position of other creditors</w:t>
      </w:r>
    </w:p>
    <w:p w14:paraId="43828EC5" w14:textId="41A077C4" w:rsidR="00EC1496" w:rsidRDefault="00F7623A" w:rsidP="0090446E">
      <w:pPr>
        <w:pStyle w:val="BodyText"/>
      </w:pPr>
      <w:r>
        <w:t xml:space="preserve">This is not an exhaustive list and the administering authority may request further evidence. In particular, the </w:t>
      </w:r>
      <w:r w:rsidR="00EC1496">
        <w:t xml:space="preserve">administering authority may commission a covenant assessment if insufficient evidence is provided. </w:t>
      </w:r>
    </w:p>
    <w:p w14:paraId="3C099703" w14:textId="0B637029" w:rsidR="00593BF3" w:rsidRDefault="00593BF3" w:rsidP="00CB755E">
      <w:pPr>
        <w:pStyle w:val="Heading3"/>
      </w:pPr>
      <w:bookmarkStart w:id="20" w:name="_Toc63178028"/>
      <w:r>
        <w:t>Assessing the proposal</w:t>
      </w:r>
      <w:bookmarkEnd w:id="20"/>
    </w:p>
    <w:p w14:paraId="214112D4" w14:textId="5337B8A9" w:rsidR="00AB24D1" w:rsidRDefault="001C1342" w:rsidP="0090446E">
      <w:pPr>
        <w:pStyle w:val="BodyText"/>
      </w:pPr>
      <w:r>
        <w:t xml:space="preserve">The administering authority will make a decision on whether to enter into a DSA </w:t>
      </w:r>
      <w:r w:rsidRPr="00FB3988">
        <w:t xml:space="preserve">within </w:t>
      </w:r>
      <w:r w:rsidR="14EF4B73" w:rsidRPr="00FB3988">
        <w:t>2</w:t>
      </w:r>
      <w:r w:rsidR="00706F2F" w:rsidRPr="00FB3988">
        <w:t>8</w:t>
      </w:r>
      <w:r w:rsidRPr="00FB3988">
        <w:t xml:space="preserve"> days of</w:t>
      </w:r>
      <w:r>
        <w:t xml:space="preserve"> receiving a </w:t>
      </w:r>
      <w:proofErr w:type="gramStart"/>
      <w:r>
        <w:t>request</w:t>
      </w:r>
      <w:proofErr w:type="gramEnd"/>
      <w:r>
        <w:t xml:space="preserve"> but this may vary to reflect specific circumstances, for example if the administering authority chooses to request a covenant assessment</w:t>
      </w:r>
      <w:r w:rsidR="00FE01E2">
        <w:t xml:space="preserve"> </w:t>
      </w:r>
      <w:r w:rsidR="00AB24D1">
        <w:t>then the process may take longer</w:t>
      </w:r>
      <w:r>
        <w:t xml:space="preserve">. </w:t>
      </w:r>
    </w:p>
    <w:p w14:paraId="097F0741" w14:textId="41A2E53C" w:rsidR="001C1342" w:rsidRDefault="001C1342" w:rsidP="0090446E">
      <w:pPr>
        <w:pStyle w:val="BodyText"/>
      </w:pPr>
      <w:r>
        <w:t>To reach a decision the administering authority will consider:</w:t>
      </w:r>
    </w:p>
    <w:p w14:paraId="7AB69B90" w14:textId="7DE171D8" w:rsidR="004E5B62" w:rsidRDefault="004E5B62" w:rsidP="001C1342">
      <w:pPr>
        <w:pStyle w:val="List"/>
      </w:pPr>
      <w:r>
        <w:t xml:space="preserve">the size of the exit payment relative to the </w:t>
      </w:r>
      <w:r w:rsidR="00DF4CD6">
        <w:t xml:space="preserve">exiting </w:t>
      </w:r>
      <w:r>
        <w:t xml:space="preserve">employer’s business </w:t>
      </w:r>
      <w:proofErr w:type="gramStart"/>
      <w:r>
        <w:t>cashflow;</w:t>
      </w:r>
      <w:proofErr w:type="gramEnd"/>
    </w:p>
    <w:p w14:paraId="65DCE0F0" w14:textId="2977F9CB" w:rsidR="001C1342" w:rsidRDefault="00FE01E2" w:rsidP="001C1342">
      <w:pPr>
        <w:pStyle w:val="List"/>
      </w:pPr>
      <w:r>
        <w:t xml:space="preserve">the size of the exit payment relative to the </w:t>
      </w:r>
      <w:r w:rsidR="001C1342">
        <w:t xml:space="preserve">costs associated with entering into a </w:t>
      </w:r>
      <w:proofErr w:type="gramStart"/>
      <w:r w:rsidR="00536F55">
        <w:t>DSA</w:t>
      </w:r>
      <w:r w:rsidR="001C1342">
        <w:t>;</w:t>
      </w:r>
      <w:proofErr w:type="gramEnd"/>
    </w:p>
    <w:p w14:paraId="65AE46FB" w14:textId="13F6D3AC" w:rsidR="001C1342" w:rsidRDefault="001C1342" w:rsidP="001C1342">
      <w:pPr>
        <w:pStyle w:val="List"/>
      </w:pPr>
      <w:r>
        <w:t xml:space="preserve">whether a </w:t>
      </w:r>
      <w:r w:rsidR="00536F55">
        <w:t>deferred debt</w:t>
      </w:r>
      <w:r>
        <w:t xml:space="preserve"> </w:t>
      </w:r>
      <w:r w:rsidR="00001DC8">
        <w:t>agreement</w:t>
      </w:r>
      <w:r>
        <w:t xml:space="preserve"> or suspension notice would be more </w:t>
      </w:r>
      <w:proofErr w:type="gramStart"/>
      <w:r>
        <w:t>appropriate;</w:t>
      </w:r>
      <w:proofErr w:type="gramEnd"/>
    </w:p>
    <w:p w14:paraId="69E5E552" w14:textId="77777777" w:rsidR="001C1342" w:rsidRDefault="001C1342" w:rsidP="001C1342">
      <w:pPr>
        <w:pStyle w:val="List"/>
      </w:pPr>
      <w:r>
        <w:t xml:space="preserve">any information provided by the employer to support their covenant </w:t>
      </w:r>
      <w:proofErr w:type="gramStart"/>
      <w:r>
        <w:t>strength;</w:t>
      </w:r>
      <w:proofErr w:type="gramEnd"/>
    </w:p>
    <w:p w14:paraId="339B6856" w14:textId="20B0DCCE" w:rsidR="001C1342" w:rsidRDefault="001C1342" w:rsidP="001C1342">
      <w:pPr>
        <w:pStyle w:val="List"/>
      </w:pPr>
      <w:r>
        <w:t xml:space="preserve">the results of any covenant review carried out by the Fund Actuary or a covenant </w:t>
      </w:r>
      <w:proofErr w:type="gramStart"/>
      <w:r>
        <w:t>specialist;</w:t>
      </w:r>
      <w:proofErr w:type="gramEnd"/>
      <w:r>
        <w:t xml:space="preserve"> </w:t>
      </w:r>
    </w:p>
    <w:p w14:paraId="3C13A0A1" w14:textId="5986379B" w:rsidR="00FA7929" w:rsidRDefault="00FA7929" w:rsidP="001C1342">
      <w:pPr>
        <w:pStyle w:val="List"/>
      </w:pPr>
      <w:r>
        <w:t xml:space="preserve">the merit of any guarantees from another source and whether this is deemed sufficient to cover the outstanding payments should the exiting employer </w:t>
      </w:r>
      <w:proofErr w:type="gramStart"/>
      <w:r>
        <w:t>fail;</w:t>
      </w:r>
      <w:proofErr w:type="gramEnd"/>
    </w:p>
    <w:p w14:paraId="086F6614" w14:textId="2D947F77" w:rsidR="0027543D" w:rsidRDefault="001C1342" w:rsidP="001C1342">
      <w:pPr>
        <w:pStyle w:val="List"/>
      </w:pPr>
      <w:r>
        <w:t xml:space="preserve">the </w:t>
      </w:r>
      <w:r w:rsidR="00DF4CD6">
        <w:t xml:space="preserve">exiting </w:t>
      </w:r>
      <w:r>
        <w:t xml:space="preserve">employer’s </w:t>
      </w:r>
      <w:proofErr w:type="gramStart"/>
      <w:r>
        <w:t>accounts;</w:t>
      </w:r>
      <w:proofErr w:type="gramEnd"/>
      <w:r>
        <w:t xml:space="preserve"> </w:t>
      </w:r>
    </w:p>
    <w:p w14:paraId="6BFE7425" w14:textId="10C35FB4" w:rsidR="001C1342" w:rsidRDefault="0027543D" w:rsidP="001C1342">
      <w:pPr>
        <w:pStyle w:val="List"/>
      </w:pPr>
      <w:r>
        <w:t xml:space="preserve">the potential impact on the other employers in the Fund; </w:t>
      </w:r>
      <w:r w:rsidR="001C1342">
        <w:t>and</w:t>
      </w:r>
    </w:p>
    <w:p w14:paraId="24CA232F" w14:textId="4A18B932" w:rsidR="00FE01E2" w:rsidRDefault="001C1342" w:rsidP="0090446E">
      <w:pPr>
        <w:pStyle w:val="List"/>
      </w:pPr>
      <w:r>
        <w:t>the opinion of the Fund Actuary.</w:t>
      </w:r>
    </w:p>
    <w:p w14:paraId="228C8C3C" w14:textId="137E3786" w:rsidR="00B92E71" w:rsidRDefault="00B92E71" w:rsidP="0090446E">
      <w:pPr>
        <w:pStyle w:val="BodyText"/>
      </w:pPr>
      <w:r>
        <w:t xml:space="preserve">The administering authority is not obliged to </w:t>
      </w:r>
      <w:r w:rsidR="00AB24D1">
        <w:t xml:space="preserve">accept an </w:t>
      </w:r>
      <w:proofErr w:type="spellStart"/>
      <w:r w:rsidR="00DF4CD6">
        <w:t>exiting</w:t>
      </w:r>
      <w:proofErr w:type="spellEnd"/>
      <w:r w:rsidR="00DF4CD6">
        <w:t xml:space="preserve"> </w:t>
      </w:r>
      <w:r w:rsidR="00AB24D1">
        <w:t>employer’s request for</w:t>
      </w:r>
      <w:r>
        <w:t xml:space="preserve"> a DSA. For example, in the following circumstances </w:t>
      </w:r>
      <w:r w:rsidR="00AB24D1">
        <w:t xml:space="preserve">the administering authority may consider </w:t>
      </w:r>
      <w:r>
        <w:t xml:space="preserve">a DSA not </w:t>
      </w:r>
      <w:r w:rsidR="00AB24D1">
        <w:t xml:space="preserve">to </w:t>
      </w:r>
      <w:r>
        <w:t>be appropriate:</w:t>
      </w:r>
    </w:p>
    <w:p w14:paraId="52CB4730" w14:textId="74F7484F" w:rsidR="00B92E71" w:rsidRDefault="00AB24D1" w:rsidP="0090446E">
      <w:pPr>
        <w:pStyle w:val="List"/>
      </w:pPr>
      <w:r w:rsidRPr="00AB24D1">
        <w:t xml:space="preserve">the </w:t>
      </w:r>
      <w:r w:rsidR="00DF4CD6">
        <w:t xml:space="preserve">exiting </w:t>
      </w:r>
      <w:r w:rsidRPr="00AB24D1">
        <w:t xml:space="preserve">employer could reasonably be expected to settle their exit payment in a single </w:t>
      </w:r>
      <w:proofErr w:type="gramStart"/>
      <w:r w:rsidRPr="00AB24D1">
        <w:t>amount</w:t>
      </w:r>
      <w:r w:rsidR="00350084">
        <w:t>;</w:t>
      </w:r>
      <w:proofErr w:type="gramEnd"/>
      <w:r w:rsidR="00B92E71">
        <w:t xml:space="preserve"> </w:t>
      </w:r>
    </w:p>
    <w:p w14:paraId="0FDC817C" w14:textId="4D9DE20E" w:rsidR="00B92E71" w:rsidRDefault="00B92E71" w:rsidP="0090446E">
      <w:pPr>
        <w:pStyle w:val="List"/>
      </w:pPr>
      <w:r>
        <w:t xml:space="preserve">there is doubt that the exiting employer can operate as a going concern during the </w:t>
      </w:r>
      <w:r w:rsidR="00350084">
        <w:t>spreading period;</w:t>
      </w:r>
      <w:r w:rsidR="00007C58">
        <w:t xml:space="preserve"> </w:t>
      </w:r>
      <w:r w:rsidR="00AB24D1">
        <w:t>or</w:t>
      </w:r>
    </w:p>
    <w:p w14:paraId="471B5FDC" w14:textId="5E0BC5DA" w:rsidR="00B92E71" w:rsidRPr="00716740" w:rsidRDefault="00350084" w:rsidP="0090446E">
      <w:pPr>
        <w:pStyle w:val="List"/>
      </w:pPr>
      <w:r w:rsidRPr="00716740">
        <w:lastRenderedPageBreak/>
        <w:t xml:space="preserve">the </w:t>
      </w:r>
      <w:r w:rsidR="00716740">
        <w:t>exiting e</w:t>
      </w:r>
      <w:r w:rsidR="00716740" w:rsidRPr="0090446E">
        <w:t xml:space="preserve">mployer </w:t>
      </w:r>
      <w:r w:rsidR="00007C58">
        <w:t xml:space="preserve">cannot afford the speeded payments over the maximum spreading period or </w:t>
      </w:r>
      <w:r w:rsidR="00716740" w:rsidRPr="0090446E">
        <w:t xml:space="preserve">is requesting a spreading period longer than </w:t>
      </w:r>
      <w:r w:rsidR="00007C58">
        <w:t xml:space="preserve">the </w:t>
      </w:r>
      <w:r w:rsidR="00716740" w:rsidRPr="0090446E">
        <w:t>maximum</w:t>
      </w:r>
      <w:r w:rsidR="00007C58">
        <w:t xml:space="preserve"> </w:t>
      </w:r>
      <w:r w:rsidR="00716740" w:rsidRPr="0090446E">
        <w:t>(see below).</w:t>
      </w:r>
    </w:p>
    <w:p w14:paraId="7B4AF156" w14:textId="7E683DFA" w:rsidR="00DC3544" w:rsidRDefault="00DC3544" w:rsidP="00DC3544">
      <w:pPr>
        <w:pStyle w:val="BodyText"/>
      </w:pPr>
      <w:r>
        <w:t xml:space="preserve">The structure of the </w:t>
      </w:r>
      <w:r w:rsidR="00536F55">
        <w:t>DSA</w:t>
      </w:r>
      <w:r>
        <w:t xml:space="preserve"> is at the discretion of the administering authority having taken advice from the Fund Actuary</w:t>
      </w:r>
      <w:r w:rsidR="00842B3A">
        <w:t xml:space="preserve"> and consulted with the exiting employer</w:t>
      </w:r>
      <w:r>
        <w:t xml:space="preserve">. </w:t>
      </w:r>
      <w:r w:rsidR="009F5B34" w:rsidRPr="009F5B34">
        <w:t xml:space="preserve">The structure should protect all other employers in the Fund whilst being achievable for the exiting employer. </w:t>
      </w:r>
      <w:r>
        <w:t xml:space="preserve">The structure of the </w:t>
      </w:r>
      <w:r w:rsidR="00E14ADA">
        <w:t>DSA</w:t>
      </w:r>
      <w:r>
        <w:t xml:space="preserve"> will </w:t>
      </w:r>
      <w:r w:rsidR="00E14ADA">
        <w:t>take into consideration</w:t>
      </w:r>
      <w:r>
        <w:t>:</w:t>
      </w:r>
    </w:p>
    <w:p w14:paraId="05197518" w14:textId="470947ED" w:rsidR="00DC3544" w:rsidRDefault="00DC3544" w:rsidP="00DC3544">
      <w:pPr>
        <w:pStyle w:val="List"/>
      </w:pPr>
      <w:r>
        <w:t xml:space="preserve">the period </w:t>
      </w:r>
      <w:r w:rsidR="00536F55">
        <w:t>that the payments will be spread</w:t>
      </w:r>
      <w:r w:rsidR="00035AC3">
        <w:t xml:space="preserve">. </w:t>
      </w:r>
      <w:r w:rsidR="00035AC3" w:rsidRPr="00663BC9">
        <w:t xml:space="preserve">This </w:t>
      </w:r>
      <w:r w:rsidR="00FE01E2" w:rsidRPr="00663BC9">
        <w:t xml:space="preserve">is expected to be no more than </w:t>
      </w:r>
      <w:r w:rsidR="00636E19" w:rsidRPr="00663BC9">
        <w:t>5</w:t>
      </w:r>
      <w:r w:rsidR="00FE01E2" w:rsidRPr="00663BC9">
        <w:t xml:space="preserve"> years</w:t>
      </w:r>
      <w:r w:rsidR="002A425F" w:rsidRPr="00663BC9">
        <w:t xml:space="preserve">. </w:t>
      </w:r>
      <w:r w:rsidR="007D4A1F" w:rsidRPr="00663BC9">
        <w:t>For</w:t>
      </w:r>
      <w:r w:rsidR="007D4A1F">
        <w:t xml:space="preserve"> longer periods it may be </w:t>
      </w:r>
      <w:r w:rsidR="002A425F">
        <w:t xml:space="preserve">more appropriate to consider a deferred debt </w:t>
      </w:r>
      <w:proofErr w:type="gramStart"/>
      <w:r w:rsidR="00001DC8">
        <w:t>agreement</w:t>
      </w:r>
      <w:proofErr w:type="gramEnd"/>
      <w:r w:rsidR="00A44BCE">
        <w:t xml:space="preserve"> but the administering authority reserves the right to set whatever spreading period they deem appropriate provided they are satisfied with the exiting employer’s ability to meet the payments over that period</w:t>
      </w:r>
      <w:r w:rsidR="002A425F">
        <w:t xml:space="preserve">. The length of the spreading period will be set as to be as short as possible whilst remaining affordable for the exiting </w:t>
      </w:r>
      <w:proofErr w:type="gramStart"/>
      <w:r w:rsidR="002A425F">
        <w:t>employer</w:t>
      </w:r>
      <w:r w:rsidR="00536F55">
        <w:t>;</w:t>
      </w:r>
      <w:proofErr w:type="gramEnd"/>
    </w:p>
    <w:p w14:paraId="7048A374" w14:textId="2DA27D99" w:rsidR="00536F55" w:rsidRDefault="00536F55" w:rsidP="00DC3544">
      <w:pPr>
        <w:pStyle w:val="List"/>
      </w:pPr>
      <w:r>
        <w:t>the interest rate</w:t>
      </w:r>
      <w:r w:rsidR="007D4A1F">
        <w:t xml:space="preserve"> applicable</w:t>
      </w:r>
      <w:r w:rsidR="006C0F34">
        <w:t xml:space="preserve"> to the spread payments</w:t>
      </w:r>
      <w:r w:rsidR="007D4A1F">
        <w:t xml:space="preserve">. </w:t>
      </w:r>
      <w:r w:rsidR="00035AC3">
        <w:t>In general, t</w:t>
      </w:r>
      <w:r w:rsidR="007D4A1F">
        <w:t xml:space="preserve">his will be set with reference to the discount rate in the exiting employer’s cessation valuation </w:t>
      </w:r>
      <w:proofErr w:type="gramStart"/>
      <w:r w:rsidR="007D4A1F">
        <w:t>report;</w:t>
      </w:r>
      <w:proofErr w:type="gramEnd"/>
    </w:p>
    <w:p w14:paraId="67C379BE" w14:textId="63B7B7EE" w:rsidR="00842B3A" w:rsidRDefault="00842B3A">
      <w:pPr>
        <w:pStyle w:val="List"/>
      </w:pPr>
      <w:r>
        <w:t xml:space="preserve">the regularity of the payments and when they fall </w:t>
      </w:r>
      <w:proofErr w:type="gramStart"/>
      <w:r>
        <w:t>due;</w:t>
      </w:r>
      <w:proofErr w:type="gramEnd"/>
    </w:p>
    <w:p w14:paraId="31E79E85" w14:textId="5C40F401" w:rsidR="00842B3A" w:rsidRDefault="00842B3A">
      <w:pPr>
        <w:pStyle w:val="List"/>
      </w:pPr>
      <w:r>
        <w:t>other costs payable; and</w:t>
      </w:r>
    </w:p>
    <w:p w14:paraId="5ED192F4" w14:textId="394156A7" w:rsidR="00536F55" w:rsidRDefault="00842B3A">
      <w:pPr>
        <w:pStyle w:val="List"/>
      </w:pPr>
      <w:r>
        <w:t xml:space="preserve">the responsibilities of the </w:t>
      </w:r>
      <w:r w:rsidR="00DF4CD6">
        <w:t xml:space="preserve">exiting </w:t>
      </w:r>
      <w:r>
        <w:t>employer during the spreading period</w:t>
      </w:r>
      <w:r w:rsidR="005A276C">
        <w:t xml:space="preserve"> (for example, to make payments on time and to notify the administering authority of a change in circumstances that could affect their ability to make payments)</w:t>
      </w:r>
      <w:r>
        <w:t>.</w:t>
      </w:r>
    </w:p>
    <w:p w14:paraId="11ECD7A3" w14:textId="76ABD8D8" w:rsidR="00035AC3" w:rsidRDefault="00892F27" w:rsidP="0090446E">
      <w:pPr>
        <w:pStyle w:val="BodyText"/>
      </w:pPr>
      <w:r>
        <w:t xml:space="preserve">Once all information has been considered the administering authority will consult with the exiting employer as required under the Regulations. If the administering authority </w:t>
      </w:r>
      <w:r w:rsidR="00324B31">
        <w:t>does not wish to</w:t>
      </w:r>
      <w:r w:rsidR="00035AC3">
        <w:t xml:space="preserve"> accept the</w:t>
      </w:r>
      <w:r w:rsidR="00DF4CD6">
        <w:t xml:space="preserve"> exiting</w:t>
      </w:r>
      <w:r w:rsidR="00035AC3">
        <w:t xml:space="preserve"> employer’s request to</w:t>
      </w:r>
      <w:r w:rsidR="00324B31">
        <w:t xml:space="preserve"> enter into a DS</w:t>
      </w:r>
      <w:r>
        <w:t>A they will explain their reasoning and any alternatives (</w:t>
      </w:r>
      <w:proofErr w:type="gramStart"/>
      <w:r>
        <w:t>e.g.</w:t>
      </w:r>
      <w:proofErr w:type="gramEnd"/>
      <w:r>
        <w:t xml:space="preserve"> a </w:t>
      </w:r>
      <w:r w:rsidR="00324B31">
        <w:t>DDA,</w:t>
      </w:r>
      <w:r>
        <w:t xml:space="preserve"> suspension notice</w:t>
      </w:r>
      <w:r w:rsidR="00324B31">
        <w:t xml:space="preserve"> or indeed require the exit payment in full</w:t>
      </w:r>
      <w:r>
        <w:t xml:space="preserve">). If the administering authority </w:t>
      </w:r>
      <w:r w:rsidR="00035AC3">
        <w:t xml:space="preserve">accepts the request </w:t>
      </w:r>
      <w:r>
        <w:t xml:space="preserve">to </w:t>
      </w:r>
      <w:proofErr w:type="gramStart"/>
      <w:r>
        <w:t>enter into</w:t>
      </w:r>
      <w:proofErr w:type="gramEnd"/>
      <w:r>
        <w:t xml:space="preserve"> a D</w:t>
      </w:r>
      <w:r w:rsidR="00324B31">
        <w:t>S</w:t>
      </w:r>
      <w:r>
        <w:t xml:space="preserve">A, they will notify their legal advisers and Fund Actuary. </w:t>
      </w:r>
      <w:r w:rsidR="00035AC3">
        <w:t xml:space="preserve">If the administering authority has concerns about the level of risk arising due to the DSA, the administering authority may only accept the request subject to a one-off cash injection being made by the </w:t>
      </w:r>
      <w:r w:rsidR="00DF4CD6">
        <w:t xml:space="preserve">exiting </w:t>
      </w:r>
      <w:r w:rsidR="00035AC3">
        <w:t xml:space="preserve">employer or security being provided as an additional guarantee. </w:t>
      </w:r>
    </w:p>
    <w:p w14:paraId="20926AE9" w14:textId="063DB50C" w:rsidR="00035AC3" w:rsidRDefault="00035AC3" w:rsidP="00CB755E">
      <w:pPr>
        <w:pStyle w:val="Heading3"/>
      </w:pPr>
      <w:bookmarkStart w:id="21" w:name="_Toc63178029"/>
      <w:r>
        <w:t xml:space="preserve">Setting up </w:t>
      </w:r>
      <w:r w:rsidR="00DF4CD6">
        <w:t>a DSA</w:t>
      </w:r>
      <w:bookmarkEnd w:id="21"/>
    </w:p>
    <w:p w14:paraId="6FBBCBF3" w14:textId="257FD013" w:rsidR="00716740" w:rsidRDefault="00892F27" w:rsidP="0090446E">
      <w:pPr>
        <w:pStyle w:val="BodyText"/>
      </w:pPr>
      <w:r>
        <w:t xml:space="preserve">The administering authority and the </w:t>
      </w:r>
      <w:r w:rsidR="00DF4CD6">
        <w:t xml:space="preserve">exiting </w:t>
      </w:r>
      <w:r>
        <w:t>employer</w:t>
      </w:r>
      <w:r w:rsidR="00035AC3">
        <w:t xml:space="preserve">, </w:t>
      </w:r>
      <w:r>
        <w:t>with the assistance of the Fund Actuary</w:t>
      </w:r>
      <w:r w:rsidR="00035AC3">
        <w:t>,</w:t>
      </w:r>
      <w:r>
        <w:t xml:space="preserve"> will then negotiate </w:t>
      </w:r>
      <w:r w:rsidR="00324B31">
        <w:t>the structure of the schedule of payments</w:t>
      </w:r>
      <w:r>
        <w:t xml:space="preserve"> which </w:t>
      </w:r>
      <w:r w:rsidR="00035AC3">
        <w:t xml:space="preserve">takes into consideration </w:t>
      </w:r>
      <w:r>
        <w:t>the</w:t>
      </w:r>
      <w:r w:rsidR="00DF4CD6">
        <w:t xml:space="preserve"> exiting</w:t>
      </w:r>
      <w:r>
        <w:t xml:space="preserve"> employer’s affordability and </w:t>
      </w:r>
      <w:r w:rsidR="00035AC3">
        <w:t xml:space="preserve">an appropriate </w:t>
      </w:r>
      <w:r w:rsidR="00324B31">
        <w:t>period of the spreading</w:t>
      </w:r>
      <w:r>
        <w:t>.</w:t>
      </w:r>
      <w:r w:rsidR="00EB50B2">
        <w:t xml:space="preserve"> </w:t>
      </w:r>
    </w:p>
    <w:p w14:paraId="35A8345D" w14:textId="5DCCFA1A" w:rsidR="005961D3" w:rsidRDefault="00842B3A" w:rsidP="00A42BA0">
      <w:pPr>
        <w:pStyle w:val="BodyText"/>
      </w:pPr>
      <w:r>
        <w:t>The schedule of payments will be set out in a revised rates and adjustment</w:t>
      </w:r>
      <w:r w:rsidR="00F54FD7">
        <w:t>s</w:t>
      </w:r>
      <w:r>
        <w:t xml:space="preserve"> certificate prepared by the Fund Actuary. </w:t>
      </w:r>
      <w:r w:rsidR="00EB50B2">
        <w:t>There may be circumstances where timings may vary, however, in general t</w:t>
      </w:r>
      <w:r>
        <w:t xml:space="preserve">he certificate will be prepared and </w:t>
      </w:r>
      <w:r w:rsidR="00892F27">
        <w:t>provided</w:t>
      </w:r>
      <w:r>
        <w:t xml:space="preserve"> to the exiting employer </w:t>
      </w:r>
      <w:r w:rsidRPr="00546A5E">
        <w:t xml:space="preserve">within </w:t>
      </w:r>
      <w:r w:rsidR="00706F2F" w:rsidRPr="00546A5E">
        <w:t>28</w:t>
      </w:r>
      <w:r w:rsidRPr="00546A5E">
        <w:t xml:space="preserve"> days of agr</w:t>
      </w:r>
      <w:r>
        <w:t>eeing the structure of the schedule of payments with the exiting employer.</w:t>
      </w:r>
    </w:p>
    <w:p w14:paraId="048E973E" w14:textId="0E2582CA" w:rsidR="00B80194" w:rsidRDefault="00B80194" w:rsidP="00CB755E">
      <w:pPr>
        <w:pStyle w:val="Heading2"/>
      </w:pPr>
      <w:bookmarkStart w:id="22" w:name="_Toc63178030"/>
      <w:r>
        <w:t xml:space="preserve">Monitoring </w:t>
      </w:r>
      <w:r w:rsidR="00DF4CD6">
        <w:t>a</w:t>
      </w:r>
      <w:r w:rsidR="00035AC3">
        <w:t xml:space="preserve"> </w:t>
      </w:r>
      <w:r w:rsidR="00DF4CD6">
        <w:t>DSA</w:t>
      </w:r>
      <w:bookmarkEnd w:id="22"/>
    </w:p>
    <w:p w14:paraId="2C40B610" w14:textId="7BA5F502" w:rsidR="00B80194" w:rsidRDefault="00B80194">
      <w:pPr>
        <w:pStyle w:val="BodyText"/>
      </w:pPr>
      <w:r>
        <w:t xml:space="preserve">Over the term that the </w:t>
      </w:r>
      <w:r w:rsidR="006E79F2">
        <w:t>cessation</w:t>
      </w:r>
      <w:r>
        <w:t xml:space="preserve"> debt payment is spread, the administering authority will mo</w:t>
      </w:r>
      <w:r w:rsidR="006E79F2">
        <w:t>nitor the ability and willingness of the exiting employer to pay the schedule of contributions in the revised rates and adjustment</w:t>
      </w:r>
      <w:r w:rsidR="00F54FD7">
        <w:t>s</w:t>
      </w:r>
      <w:r w:rsidR="006E79F2">
        <w:t xml:space="preserve"> certificate.</w:t>
      </w:r>
      <w:r w:rsidR="00035AC3" w:rsidRPr="00035AC3">
        <w:t xml:space="preserve"> </w:t>
      </w:r>
      <w:r w:rsidR="00035AC3">
        <w:t xml:space="preserve">While it is expected the schedule of payments would be fixed for the spreading period, the administering authority may alter the structure of the schedule at any time if there is a change in the exiting employer’s circumstances or indeed, if the exiting employer wanted to pay the remaining balance. This will be agreed on a </w:t>
      </w:r>
      <w:proofErr w:type="gramStart"/>
      <w:r w:rsidR="00035AC3">
        <w:t>case by case</w:t>
      </w:r>
      <w:proofErr w:type="gramEnd"/>
      <w:r w:rsidR="00035AC3">
        <w:t xml:space="preserve"> basis and set out in a side agreement as required.</w:t>
      </w:r>
    </w:p>
    <w:p w14:paraId="3CBE8A73" w14:textId="77714D94" w:rsidR="006E79F2" w:rsidRDefault="00DC3544">
      <w:pPr>
        <w:pStyle w:val="BodyText"/>
      </w:pPr>
      <w:r>
        <w:lastRenderedPageBreak/>
        <w:t xml:space="preserve">The administering authority will be in regular contact with the exiting employer until </w:t>
      </w:r>
      <w:r w:rsidR="00CF089F">
        <w:t xml:space="preserve">their obligations to the Fund are removed when </w:t>
      </w:r>
      <w:r>
        <w:t>all payments set out in the schedu</w:t>
      </w:r>
      <w:r w:rsidR="00CF089F">
        <w:t>le of payments are made.</w:t>
      </w:r>
    </w:p>
    <w:p w14:paraId="50BA2BEA" w14:textId="449874F6" w:rsidR="00B47980" w:rsidRDefault="00B47980">
      <w:pPr>
        <w:pStyle w:val="BodyText"/>
      </w:pPr>
      <w:r>
        <w:t>Examples of factors which will be monitored are set out below. Should any of these raise any concerns with the administering authority then the DSA may be reviewed</w:t>
      </w:r>
      <w:r w:rsidR="00035AC3">
        <w:t xml:space="preserve"> and/or terminated</w:t>
      </w:r>
      <w:r>
        <w:t>.</w:t>
      </w:r>
    </w:p>
    <w:p w14:paraId="7B4D76F0" w14:textId="1E5777DE" w:rsidR="00955570" w:rsidRPr="00CB755E" w:rsidRDefault="006E6751" w:rsidP="00CB755E">
      <w:pPr>
        <w:pStyle w:val="BodyText"/>
        <w:rPr>
          <w:b/>
        </w:rPr>
      </w:pPr>
      <w:r w:rsidRPr="00CB755E">
        <w:rPr>
          <w:b/>
        </w:rPr>
        <w:t>Changing employer covenant</w:t>
      </w:r>
    </w:p>
    <w:p w14:paraId="317ABEFB" w14:textId="476478FB" w:rsidR="00955570" w:rsidRDefault="00955570" w:rsidP="0090446E">
      <w:pPr>
        <w:pStyle w:val="BodyText"/>
      </w:pPr>
      <w:r>
        <w:t xml:space="preserve">The administering authority will monitor the ability of the exiting employer to </w:t>
      </w:r>
      <w:r w:rsidR="00934C37">
        <w:t>make their set payments</w:t>
      </w:r>
      <w:r>
        <w:t xml:space="preserve"> by monitoring publicly available information </w:t>
      </w:r>
      <w:r w:rsidR="00934C37">
        <w:t xml:space="preserve">such as credit </w:t>
      </w:r>
      <w:r w:rsidR="00172572">
        <w:t xml:space="preserve">ratings </w:t>
      </w:r>
      <w:r w:rsidR="00934C37">
        <w:t>and/or company accounts as well as keeping in regular contact</w:t>
      </w:r>
      <w:r w:rsidR="00711A88">
        <w:t xml:space="preserve">, </w:t>
      </w:r>
      <w:r w:rsidR="00172572">
        <w:t xml:space="preserve">at least </w:t>
      </w:r>
      <w:r w:rsidR="00711A88">
        <w:t>annually,</w:t>
      </w:r>
      <w:r w:rsidR="00934C37">
        <w:t xml:space="preserve"> with the exiting employer </w:t>
      </w:r>
      <w:r w:rsidR="003F4124">
        <w:t>to ensure</w:t>
      </w:r>
      <w:r w:rsidR="0003197E">
        <w:t xml:space="preserve"> that the payments can be met.</w:t>
      </w:r>
    </w:p>
    <w:p w14:paraId="748203DB" w14:textId="26CCA49C" w:rsidR="000C6435" w:rsidRPr="008D796E" w:rsidRDefault="000C6435" w:rsidP="0090446E">
      <w:pPr>
        <w:pStyle w:val="BodyText"/>
      </w:pPr>
      <w:r>
        <w:t xml:space="preserve">As a condition of </w:t>
      </w:r>
      <w:proofErr w:type="gramStart"/>
      <w:r>
        <w:t>entering into</w:t>
      </w:r>
      <w:proofErr w:type="gramEnd"/>
      <w:r>
        <w:t xml:space="preserve"> a D</w:t>
      </w:r>
      <w:r w:rsidR="00C00878">
        <w:t>S</w:t>
      </w:r>
      <w:r>
        <w:t xml:space="preserve">A, the exiting employer is required to engage with the administering authority to assist with monitoring the level of covenant, for example by providing information requested by the administering authority in a timely manner. </w:t>
      </w:r>
    </w:p>
    <w:p w14:paraId="2EC06B7B" w14:textId="333D3D35" w:rsidR="006E79F2" w:rsidRPr="00CB755E" w:rsidRDefault="00172572" w:rsidP="00CB755E">
      <w:pPr>
        <w:pStyle w:val="BodyText"/>
        <w:rPr>
          <w:b/>
        </w:rPr>
      </w:pPr>
      <w:r w:rsidRPr="00CB755E">
        <w:rPr>
          <w:b/>
        </w:rPr>
        <w:t xml:space="preserve">Timeliness </w:t>
      </w:r>
      <w:r w:rsidR="006E79F2" w:rsidRPr="00CB755E">
        <w:rPr>
          <w:b/>
        </w:rPr>
        <w:t>of payments</w:t>
      </w:r>
    </w:p>
    <w:p w14:paraId="26E81D2F" w14:textId="3D583DE7" w:rsidR="006E79F2" w:rsidRDefault="00F54FD7" w:rsidP="006E79F2">
      <w:pPr>
        <w:pStyle w:val="BodyText"/>
      </w:pPr>
      <w:r>
        <w:t xml:space="preserve">The DSA will set out whether payments are made on a </w:t>
      </w:r>
      <w:r w:rsidR="00706F2F">
        <w:t>quarterly or bi-</w:t>
      </w:r>
      <w:r>
        <w:t>annual basis and how long for, and t</w:t>
      </w:r>
      <w:r w:rsidR="006E79F2">
        <w:t xml:space="preserve">he administering authority will monitor if contributions are paid on time. Successive late or </w:t>
      </w:r>
      <w:proofErr w:type="gramStart"/>
      <w:r w:rsidR="006E79F2">
        <w:t>in particular missing</w:t>
      </w:r>
      <w:proofErr w:type="gramEnd"/>
      <w:r w:rsidR="006E79F2">
        <w:t xml:space="preserve"> payments would contribute towards further interest charges or </w:t>
      </w:r>
      <w:r w:rsidR="0003197E">
        <w:t xml:space="preserve">the spreading </w:t>
      </w:r>
      <w:r w:rsidR="00001DC8">
        <w:t>agreement</w:t>
      </w:r>
      <w:r w:rsidR="0003197E">
        <w:t xml:space="preserve"> </w:t>
      </w:r>
      <w:r>
        <w:t xml:space="preserve">may </w:t>
      </w:r>
      <w:r w:rsidR="0003197E">
        <w:t xml:space="preserve">be reviewed </w:t>
      </w:r>
      <w:r w:rsidR="00172572">
        <w:t>and/</w:t>
      </w:r>
      <w:r w:rsidR="0003197E">
        <w:t>or terminated</w:t>
      </w:r>
      <w:r w:rsidR="006E79F2">
        <w:t>.</w:t>
      </w:r>
    </w:p>
    <w:p w14:paraId="1B53248E" w14:textId="79F29440" w:rsidR="00D36D8A" w:rsidRPr="00CB755E" w:rsidRDefault="00172572" w:rsidP="00CB755E">
      <w:pPr>
        <w:pStyle w:val="BodyText"/>
        <w:rPr>
          <w:b/>
        </w:rPr>
      </w:pPr>
      <w:r w:rsidRPr="00CB755E">
        <w:rPr>
          <w:b/>
        </w:rPr>
        <w:t xml:space="preserve">Strength </w:t>
      </w:r>
      <w:r w:rsidR="00D36D8A" w:rsidRPr="00CB755E">
        <w:rPr>
          <w:b/>
        </w:rPr>
        <w:t>of guarantee</w:t>
      </w:r>
      <w:r w:rsidR="009F5B34">
        <w:rPr>
          <w:b/>
        </w:rPr>
        <w:t xml:space="preserve"> or security</w:t>
      </w:r>
    </w:p>
    <w:p w14:paraId="5084436F" w14:textId="19C9EE54" w:rsidR="00D36D8A" w:rsidRDefault="00D36D8A" w:rsidP="0090446E">
      <w:pPr>
        <w:pStyle w:val="BodyText"/>
      </w:pPr>
      <w:r>
        <w:t xml:space="preserve">If a particular schedule of payments has been agreed between the administering authority and the </w:t>
      </w:r>
      <w:r w:rsidR="00711A88">
        <w:t xml:space="preserve">exiting </w:t>
      </w:r>
      <w:r>
        <w:t>employer on the understanding that there is a particular security in place (</w:t>
      </w:r>
      <w:proofErr w:type="gramStart"/>
      <w:r>
        <w:t>e.g.</w:t>
      </w:r>
      <w:proofErr w:type="gramEnd"/>
      <w:r>
        <w:t xml:space="preserve"> another employer in the Fund willing to pay the remaining balance or a fixed charge on property </w:t>
      </w:r>
      <w:r w:rsidR="006D38CA">
        <w:t>that covers the remaining balance</w:t>
      </w:r>
      <w:r>
        <w:t xml:space="preserve">) then the administering authority will check there has been no change to the security </w:t>
      </w:r>
      <w:r w:rsidR="00C00878">
        <w:t>regularly</w:t>
      </w:r>
      <w:r w:rsidR="009B5750">
        <w:t>. The frequency of these reviews may reduce as the level of outstanding debt reduces</w:t>
      </w:r>
      <w:r w:rsidR="00C00878">
        <w:t>.</w:t>
      </w:r>
      <w:r>
        <w:t xml:space="preserve"> The </w:t>
      </w:r>
      <w:r w:rsidR="006D38CA">
        <w:t xml:space="preserve">administering authority with advice from the </w:t>
      </w:r>
      <w:r>
        <w:t xml:space="preserve">Fund Actuary may change the </w:t>
      </w:r>
      <w:r w:rsidR="006D38CA">
        <w:t>schedule of payments</w:t>
      </w:r>
      <w:r>
        <w:t xml:space="preserve"> depending on the strength of the security in place.</w:t>
      </w:r>
      <w:r w:rsidR="006D38CA">
        <w:t xml:space="preserve"> The exiting employer would be consulted prior to any changes.</w:t>
      </w:r>
    </w:p>
    <w:p w14:paraId="0CFF2CC2" w14:textId="4C349A90" w:rsidR="00682B3A" w:rsidRPr="00CB755E" w:rsidRDefault="00172572" w:rsidP="00CB755E">
      <w:pPr>
        <w:pStyle w:val="BodyText"/>
        <w:rPr>
          <w:b/>
        </w:rPr>
      </w:pPr>
      <w:r w:rsidRPr="00CB755E">
        <w:rPr>
          <w:b/>
        </w:rPr>
        <w:t>Notifiable events from</w:t>
      </w:r>
      <w:r w:rsidR="00682B3A" w:rsidRPr="00CB755E">
        <w:rPr>
          <w:b/>
        </w:rPr>
        <w:t xml:space="preserve"> the </w:t>
      </w:r>
      <w:r w:rsidR="00DF4CD6" w:rsidRPr="00CB755E">
        <w:rPr>
          <w:b/>
        </w:rPr>
        <w:t>exiting</w:t>
      </w:r>
      <w:r w:rsidRPr="00CB755E">
        <w:rPr>
          <w:b/>
        </w:rPr>
        <w:t xml:space="preserve"> </w:t>
      </w:r>
      <w:r w:rsidR="00682B3A" w:rsidRPr="00CB755E">
        <w:rPr>
          <w:b/>
        </w:rPr>
        <w:t>employer</w:t>
      </w:r>
    </w:p>
    <w:p w14:paraId="0B26EBC3" w14:textId="396F4181" w:rsidR="006E79F2" w:rsidRPr="00B80194" w:rsidRDefault="00682B3A">
      <w:pPr>
        <w:pStyle w:val="BodyText"/>
      </w:pPr>
      <w:r>
        <w:t xml:space="preserve">The </w:t>
      </w:r>
      <w:r w:rsidR="00331071">
        <w:t>exiting</w:t>
      </w:r>
      <w:r>
        <w:t xml:space="preserve"> employer has a responsibility to make the administering authority aware of any changes in their ability to make payments or of a change in circumstance </w:t>
      </w:r>
      <w:r w:rsidR="00F95499">
        <w:t xml:space="preserve">that affects their ability to make </w:t>
      </w:r>
      <w:r w:rsidR="00F95499" w:rsidRPr="00172572">
        <w:t>payments</w:t>
      </w:r>
      <w:r w:rsidRPr="00172572">
        <w:t>.</w:t>
      </w:r>
      <w:r w:rsidRPr="00CB755E">
        <w:t xml:space="preserve"> </w:t>
      </w:r>
      <w:r w:rsidRPr="00172572">
        <w:t xml:space="preserve">Information </w:t>
      </w:r>
      <w:r w:rsidR="00172572">
        <w:t xml:space="preserve">should </w:t>
      </w:r>
      <w:r>
        <w:t>be shared with the administering authority at any time throughout the agreement</w:t>
      </w:r>
      <w:r w:rsidR="00172572">
        <w:t xml:space="preserve"> to enable the administering authority to consider whether a review of the agreement should be carried out</w:t>
      </w:r>
      <w:r>
        <w:t xml:space="preserve">. </w:t>
      </w:r>
    </w:p>
    <w:p w14:paraId="29A47D35" w14:textId="748E0662" w:rsidR="00900236" w:rsidRDefault="007F1392" w:rsidP="00CB755E">
      <w:pPr>
        <w:pStyle w:val="Heading2"/>
      </w:pPr>
      <w:bookmarkStart w:id="23" w:name="_Toc63178031"/>
      <w:r>
        <w:t xml:space="preserve">Terminating a </w:t>
      </w:r>
      <w:r w:rsidR="00DF4CD6">
        <w:t>DSA</w:t>
      </w:r>
      <w:bookmarkEnd w:id="23"/>
    </w:p>
    <w:p w14:paraId="0BA9DA1D" w14:textId="514AA821" w:rsidR="00172572" w:rsidRDefault="00172572" w:rsidP="00CB755E">
      <w:pPr>
        <w:pStyle w:val="Heading3"/>
      </w:pPr>
      <w:bookmarkStart w:id="24" w:name="_Toc63178032"/>
      <w:r>
        <w:t>Events that may terminate a DSA</w:t>
      </w:r>
      <w:bookmarkEnd w:id="24"/>
    </w:p>
    <w:p w14:paraId="07601183" w14:textId="5881EE8F" w:rsidR="007F1392" w:rsidRDefault="007F1392">
      <w:pPr>
        <w:pStyle w:val="BodyText"/>
      </w:pPr>
      <w:r>
        <w:t>On paying all the payments set out in the revised rates and adjustment</w:t>
      </w:r>
      <w:r w:rsidR="00F54FD7">
        <w:t>s</w:t>
      </w:r>
      <w:r>
        <w:t xml:space="preserve"> certificate the exiting employer will no longer have any obligations to the Fund.</w:t>
      </w:r>
    </w:p>
    <w:p w14:paraId="294EA6D9" w14:textId="2EAE3E03" w:rsidR="007F1392" w:rsidRDefault="007F1392">
      <w:pPr>
        <w:pStyle w:val="BodyText"/>
      </w:pPr>
      <w:proofErr w:type="gramStart"/>
      <w:r>
        <w:t>In the event that</w:t>
      </w:r>
      <w:proofErr w:type="gramEnd"/>
      <w:r>
        <w:t xml:space="preserve"> the administering authority believes that the exiting employer may not be able to make any </w:t>
      </w:r>
      <w:r w:rsidR="00641A02">
        <w:t xml:space="preserve">of their remaining payments, the administering authority </w:t>
      </w:r>
      <w:r w:rsidR="00BA45D0">
        <w:t>reserve</w:t>
      </w:r>
      <w:r w:rsidR="00F54FD7">
        <w:t>s</w:t>
      </w:r>
      <w:r w:rsidR="00641A02">
        <w:t xml:space="preserve"> the right to </w:t>
      </w:r>
      <w:r w:rsidR="00BA45D0">
        <w:t xml:space="preserve">review </w:t>
      </w:r>
      <w:r w:rsidR="00172572">
        <w:t xml:space="preserve">and/or terminate </w:t>
      </w:r>
      <w:r w:rsidR="00BA45D0">
        <w:t>the DSA to ensure it is appropriate for the Fund and does not adversely impact the other participating employers.</w:t>
      </w:r>
    </w:p>
    <w:p w14:paraId="26C7733A" w14:textId="272D00AB" w:rsidR="00172572" w:rsidRDefault="00172572">
      <w:pPr>
        <w:pStyle w:val="BodyText"/>
      </w:pPr>
      <w:r>
        <w:lastRenderedPageBreak/>
        <w:t>The exiting employer may also request to terminate the DSA early, in which case an immediate payment of the outstanding amounts set out in the contribution schedule should be paid.</w:t>
      </w:r>
    </w:p>
    <w:p w14:paraId="047F570C" w14:textId="7028BB74" w:rsidR="00172572" w:rsidRDefault="00172572" w:rsidP="00CB755E">
      <w:pPr>
        <w:pStyle w:val="Heading3"/>
      </w:pPr>
      <w:bookmarkStart w:id="25" w:name="_Toc63178033"/>
      <w:r>
        <w:t>Process of termination</w:t>
      </w:r>
      <w:bookmarkEnd w:id="25"/>
    </w:p>
    <w:p w14:paraId="73AEDCD8" w14:textId="0797CB3A" w:rsidR="00BA45D0" w:rsidRDefault="00BA45D0">
      <w:pPr>
        <w:pStyle w:val="BodyText"/>
      </w:pPr>
      <w:r>
        <w:t xml:space="preserve">In the event of a DSA being amended or </w:t>
      </w:r>
      <w:r w:rsidR="00172572">
        <w:t xml:space="preserve">terminated </w:t>
      </w:r>
      <w:r>
        <w:t>the administering authority will communicate this to the exiting employer along with reasons for the decision.</w:t>
      </w:r>
      <w:r w:rsidR="00B20E48">
        <w:t xml:space="preserve"> Before the decision is made the administering authority will consult with the exiting employer about their change in circumstances </w:t>
      </w:r>
      <w:proofErr w:type="gramStart"/>
      <w:r w:rsidR="00B20E48">
        <w:t>and also</w:t>
      </w:r>
      <w:proofErr w:type="gramEnd"/>
      <w:r w:rsidR="00B20E48">
        <w:t xml:space="preserve"> take advice from the Fund Actuary.</w:t>
      </w:r>
    </w:p>
    <w:p w14:paraId="16A8A1BC" w14:textId="3362FD5E" w:rsidR="0003197E" w:rsidRDefault="0003197E" w:rsidP="0003197E">
      <w:pPr>
        <w:pStyle w:val="BodyText"/>
      </w:pPr>
      <w:r>
        <w:t xml:space="preserve">If the DSA </w:t>
      </w:r>
      <w:proofErr w:type="gramStart"/>
      <w:r>
        <w:t>has to</w:t>
      </w:r>
      <w:proofErr w:type="gramEnd"/>
      <w:r>
        <w:t xml:space="preserve"> be terminated prematurely</w:t>
      </w:r>
      <w:r w:rsidR="00A054DA">
        <w:t xml:space="preserve"> the</w:t>
      </w:r>
      <w:r>
        <w:t xml:space="preserve"> administering authority will seek to obtain </w:t>
      </w:r>
      <w:r w:rsidR="00A054DA">
        <w:t xml:space="preserve">from the exiting employer </w:t>
      </w:r>
      <w:r>
        <w:t>as much of the outstanding exit payments as possible</w:t>
      </w:r>
      <w:r w:rsidR="00A054DA">
        <w:t xml:space="preserve"> or look at alternative arrangements such as a deferred debt </w:t>
      </w:r>
      <w:r w:rsidR="00001DC8">
        <w:t>agreement</w:t>
      </w:r>
      <w:r w:rsidR="00A054DA">
        <w:t>.</w:t>
      </w:r>
      <w:bookmarkEnd w:id="2"/>
    </w:p>
    <w:p w14:paraId="779EC787" w14:textId="598F1F43" w:rsidR="00172572" w:rsidRDefault="00172572" w:rsidP="0003197E">
      <w:pPr>
        <w:pStyle w:val="BodyText"/>
      </w:pPr>
      <w:r>
        <w:t>Once the exit payment has been made in full, the exiting employer has no further obligation to the Fund.</w:t>
      </w:r>
    </w:p>
    <w:p w14:paraId="62AF4227" w14:textId="7889B2D3" w:rsidR="002F0256" w:rsidRDefault="002F0256" w:rsidP="0003197E">
      <w:pPr>
        <w:pStyle w:val="BodyText"/>
      </w:pPr>
    </w:p>
    <w:p w14:paraId="559E2EA1" w14:textId="42074313" w:rsidR="002F0256" w:rsidRDefault="002F0256" w:rsidP="0003197E">
      <w:pPr>
        <w:pStyle w:val="BodyText"/>
      </w:pPr>
    </w:p>
    <w:p w14:paraId="2BA4FA4F" w14:textId="73236A55" w:rsidR="0044625C" w:rsidRDefault="0044625C" w:rsidP="0003197E">
      <w:pPr>
        <w:pStyle w:val="BodyText"/>
      </w:pPr>
    </w:p>
    <w:p w14:paraId="30B34394" w14:textId="6834529D" w:rsidR="0044625C" w:rsidRDefault="0044625C" w:rsidP="0003197E">
      <w:pPr>
        <w:pStyle w:val="BodyText"/>
      </w:pPr>
    </w:p>
    <w:p w14:paraId="3A5246AC" w14:textId="016E1512" w:rsidR="0044625C" w:rsidRDefault="0044625C" w:rsidP="0003197E">
      <w:pPr>
        <w:pStyle w:val="BodyText"/>
      </w:pPr>
    </w:p>
    <w:p w14:paraId="772B0C2F" w14:textId="497F4D34" w:rsidR="0044625C" w:rsidRDefault="0044625C" w:rsidP="0003197E">
      <w:pPr>
        <w:pStyle w:val="BodyText"/>
      </w:pPr>
    </w:p>
    <w:p w14:paraId="33C19916" w14:textId="251AA8A0" w:rsidR="0044625C" w:rsidRDefault="0044625C" w:rsidP="0003197E">
      <w:pPr>
        <w:pStyle w:val="BodyText"/>
      </w:pPr>
    </w:p>
    <w:p w14:paraId="0AC3CE7B" w14:textId="14D4FBAF" w:rsidR="0044625C" w:rsidRDefault="0044625C" w:rsidP="0003197E">
      <w:pPr>
        <w:pStyle w:val="BodyText"/>
      </w:pPr>
    </w:p>
    <w:p w14:paraId="49C8287D" w14:textId="1EC61AEE" w:rsidR="0044625C" w:rsidRDefault="0044625C" w:rsidP="0003197E">
      <w:pPr>
        <w:pStyle w:val="BodyText"/>
      </w:pPr>
    </w:p>
    <w:p w14:paraId="3103D5EF" w14:textId="7B32F183" w:rsidR="0044625C" w:rsidRDefault="0044625C" w:rsidP="0003197E">
      <w:pPr>
        <w:pStyle w:val="BodyText"/>
      </w:pPr>
    </w:p>
    <w:p w14:paraId="6C681790" w14:textId="705CDB95" w:rsidR="0044625C" w:rsidRDefault="0044625C" w:rsidP="0003197E">
      <w:pPr>
        <w:pStyle w:val="BodyText"/>
      </w:pPr>
    </w:p>
    <w:p w14:paraId="3560CF1A" w14:textId="5DF5E88B" w:rsidR="0044625C" w:rsidRDefault="0044625C" w:rsidP="0003197E">
      <w:pPr>
        <w:pStyle w:val="BodyText"/>
      </w:pPr>
    </w:p>
    <w:p w14:paraId="3DE6FD01" w14:textId="6184E767" w:rsidR="0044625C" w:rsidRDefault="0044625C" w:rsidP="0003197E">
      <w:pPr>
        <w:pStyle w:val="BodyText"/>
      </w:pPr>
    </w:p>
    <w:p w14:paraId="42AE44AB" w14:textId="328D1D54" w:rsidR="0044625C" w:rsidRDefault="0044625C" w:rsidP="0003197E">
      <w:pPr>
        <w:pStyle w:val="BodyText"/>
      </w:pPr>
    </w:p>
    <w:p w14:paraId="6AAAE4BF" w14:textId="39166D4C" w:rsidR="0044625C" w:rsidRDefault="0044625C" w:rsidP="0003197E">
      <w:pPr>
        <w:pStyle w:val="BodyText"/>
      </w:pPr>
    </w:p>
    <w:p w14:paraId="2C6BC464" w14:textId="3D5A0A9E" w:rsidR="0044625C" w:rsidRDefault="0044625C" w:rsidP="0003197E">
      <w:pPr>
        <w:pStyle w:val="BodyText"/>
      </w:pPr>
    </w:p>
    <w:p w14:paraId="42562484" w14:textId="7DC3C2FA" w:rsidR="0044625C" w:rsidRDefault="0044625C" w:rsidP="0003197E">
      <w:pPr>
        <w:pStyle w:val="BodyText"/>
      </w:pPr>
    </w:p>
    <w:p w14:paraId="5A1BE7A8" w14:textId="7B92F52A" w:rsidR="0044625C" w:rsidRDefault="0044625C" w:rsidP="0003197E">
      <w:pPr>
        <w:pStyle w:val="BodyText"/>
      </w:pPr>
    </w:p>
    <w:p w14:paraId="4FD443FE" w14:textId="1D414B4E" w:rsidR="0044625C" w:rsidRDefault="0044625C" w:rsidP="0003197E">
      <w:pPr>
        <w:pStyle w:val="BodyText"/>
      </w:pPr>
    </w:p>
    <w:p w14:paraId="6CF2B59E" w14:textId="362E56C6" w:rsidR="0044625C" w:rsidRDefault="0044625C" w:rsidP="0003197E">
      <w:pPr>
        <w:pStyle w:val="BodyText"/>
      </w:pPr>
    </w:p>
    <w:p w14:paraId="15C2A9EC" w14:textId="77777777" w:rsidR="0044625C" w:rsidRDefault="0044625C" w:rsidP="0044625C">
      <w:pPr>
        <w:pStyle w:val="Heading1"/>
      </w:pPr>
      <w:bookmarkStart w:id="26" w:name="_Ref62130644"/>
      <w:bookmarkStart w:id="27" w:name="_Toc62134748"/>
      <w:r>
        <w:lastRenderedPageBreak/>
        <w:t>Appeals process</w:t>
      </w:r>
      <w:bookmarkEnd w:id="26"/>
      <w:bookmarkEnd w:id="27"/>
    </w:p>
    <w:p w14:paraId="67FD8F16" w14:textId="77777777" w:rsidR="0044625C" w:rsidRPr="00475C27" w:rsidRDefault="0044625C" w:rsidP="0044625C">
      <w:pPr>
        <w:pStyle w:val="BodyText"/>
      </w:pPr>
      <w:r w:rsidRPr="00475C27">
        <w:t>1. Any appeals presented to the Administering Authority would require an employer to evidence one of the following:</w:t>
      </w:r>
    </w:p>
    <w:p w14:paraId="05671C5B" w14:textId="77777777" w:rsidR="0044625C" w:rsidRPr="00475C27" w:rsidRDefault="0044625C" w:rsidP="0044625C">
      <w:pPr>
        <w:pStyle w:val="BodyText"/>
      </w:pPr>
      <w:r w:rsidRPr="00475C27">
        <w:t>(</w:t>
      </w:r>
      <w:proofErr w:type="spellStart"/>
      <w:r w:rsidRPr="00475C27">
        <w:t>i</w:t>
      </w:r>
      <w:proofErr w:type="spellEnd"/>
      <w:r w:rsidRPr="00475C27">
        <w:t>) A deviation from the published policy or process by the Administering Authority</w:t>
      </w:r>
    </w:p>
    <w:p w14:paraId="5FB78EF9" w14:textId="77777777" w:rsidR="0044625C" w:rsidRPr="00475C27" w:rsidRDefault="0044625C" w:rsidP="0044625C">
      <w:pPr>
        <w:pStyle w:val="BodyText"/>
      </w:pPr>
      <w:r w:rsidRPr="00475C27">
        <w:t>And/or</w:t>
      </w:r>
    </w:p>
    <w:p w14:paraId="1FF4BDFA" w14:textId="77777777" w:rsidR="0044625C" w:rsidRPr="00475C27" w:rsidRDefault="0044625C" w:rsidP="0044625C">
      <w:pPr>
        <w:pStyle w:val="BodyText"/>
      </w:pPr>
      <w:r w:rsidRPr="00475C27">
        <w:t>(ii) Any further information (or interpretation of information provided) which could influence the outcome, noting new evidence to be considered at the discretion of the Administering Authority)</w:t>
      </w:r>
    </w:p>
    <w:p w14:paraId="0B28D94B" w14:textId="77777777" w:rsidR="0044625C" w:rsidRPr="00475C27" w:rsidRDefault="0044625C" w:rsidP="0044625C">
      <w:pPr>
        <w:pStyle w:val="BodyText"/>
      </w:pPr>
      <w:r w:rsidRPr="00475C27">
        <w:t>2. Should a Scheme Employer wish to submit an appeal the Employer must inform the Administering Authority in writing of its wish to appeal within 28 days of the initial decision. This should clearly set out the reasons behind any appeal. The employer will then have a further 28 days from the notification to appeal to provide detailed evidence for the administering authority to consider.</w:t>
      </w:r>
    </w:p>
    <w:p w14:paraId="3924D1F0" w14:textId="77777777" w:rsidR="0044625C" w:rsidRPr="00475C27" w:rsidRDefault="0044625C" w:rsidP="0044625C">
      <w:r w:rsidRPr="00475C27">
        <w:t xml:space="preserve">3. The review of the decision will be undertaken by the administering authority independently from those directly involved in the original decision. Where required, the administering authority may take legal or actuarial advice. </w:t>
      </w:r>
    </w:p>
    <w:p w14:paraId="5496A6CC" w14:textId="77777777" w:rsidR="0044625C" w:rsidRPr="00475C27" w:rsidRDefault="0044625C" w:rsidP="0044625C"/>
    <w:p w14:paraId="3289CC4F" w14:textId="77777777" w:rsidR="0044625C" w:rsidRPr="00475C27" w:rsidRDefault="0044625C" w:rsidP="0044625C">
      <w:r w:rsidRPr="00475C27">
        <w:t>4. Should the appeal not be upheld; the cost of any advice will be the responsibility of the Scheme employer. The administering authority will respond to the Scheme employer within 2 months of receiving the appeal notice.</w:t>
      </w:r>
    </w:p>
    <w:p w14:paraId="6B6FB143" w14:textId="77777777" w:rsidR="0044625C" w:rsidRPr="00475C27" w:rsidRDefault="0044625C" w:rsidP="0044625C">
      <w:pPr>
        <w:spacing w:after="200" w:line="276" w:lineRule="auto"/>
      </w:pPr>
    </w:p>
    <w:p w14:paraId="2AC3C4D2" w14:textId="77777777" w:rsidR="0044625C" w:rsidRPr="0003197E" w:rsidRDefault="0044625C" w:rsidP="0003197E">
      <w:pPr>
        <w:pStyle w:val="BodyText"/>
      </w:pPr>
    </w:p>
    <w:sectPr w:rsidR="0044625C" w:rsidRPr="0003197E" w:rsidSect="0090446E">
      <w:footerReference w:type="default" r:id="rId11"/>
      <w:pgSz w:w="11906" w:h="16838"/>
      <w:pgMar w:top="2268" w:right="1020" w:bottom="1440" w:left="10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8A105" w14:textId="77777777" w:rsidR="00131048" w:rsidRDefault="00131048" w:rsidP="00615554">
      <w:r>
        <w:separator/>
      </w:r>
    </w:p>
  </w:endnote>
  <w:endnote w:type="continuationSeparator" w:id="0">
    <w:p w14:paraId="752C6023" w14:textId="77777777" w:rsidR="00131048" w:rsidRDefault="00131048" w:rsidP="006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2BE28" w14:textId="5C2E6EDE" w:rsidR="00131048" w:rsidRPr="00070A10" w:rsidRDefault="00131048" w:rsidP="00E066C2">
    <w:pPr>
      <w:rPr>
        <w:rFonts w:cs="Segoe UI"/>
        <w:color w:val="797979"/>
        <w:sz w:val="12"/>
        <w:szCs w:val="12"/>
      </w:rPr>
    </w:pPr>
    <w:r>
      <w:rPr>
        <w:rFonts w:cs="Segoe UI"/>
        <w:color w:val="797979"/>
        <w:sz w:val="12"/>
        <w:szCs w:val="12"/>
      </w:rPr>
      <w:t>Version 1</w:t>
    </w:r>
    <w:r w:rsidRPr="004F015E">
      <w:rPr>
        <w:noProof/>
        <w:color w:val="797979"/>
        <w:sz w:val="13"/>
        <w:szCs w:val="13"/>
        <w:lang w:eastAsia="en-GB"/>
      </w:rPr>
      <mc:AlternateContent>
        <mc:Choice Requires="wps">
          <w:drawing>
            <wp:inline distT="0" distB="0" distL="0" distR="0" wp14:anchorId="506F6ECF" wp14:editId="5DFAD2DD">
              <wp:extent cx="5827594" cy="116006"/>
              <wp:effectExtent l="0" t="0" r="190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594" cy="116006"/>
                      </a:xfrm>
                      <a:prstGeom prst="rect">
                        <a:avLst/>
                      </a:prstGeom>
                      <a:solidFill>
                        <a:srgbClr val="FFFFFF"/>
                      </a:solidFill>
                      <a:ln w="9525">
                        <a:noFill/>
                        <a:miter lim="800000"/>
                        <a:headEnd/>
                        <a:tailEnd/>
                      </a:ln>
                    </wps:spPr>
                    <wps:txbx>
                      <w:txbxContent>
                        <w:p w14:paraId="169582BA" w14:textId="0942CA68" w:rsidR="00131048" w:rsidRPr="002C1FBA" w:rsidRDefault="00B21077" w:rsidP="00E066C2">
                          <w:pPr>
                            <w:jc w:val="right"/>
                            <w:rPr>
                              <w:rFonts w:cs="Segoe UI"/>
                              <w:color w:val="797979"/>
                              <w:sz w:val="12"/>
                              <w:szCs w:val="12"/>
                            </w:rPr>
                          </w:pPr>
                          <w:r w:rsidRPr="00B21077">
                            <w:rPr>
                              <w:sz w:val="12"/>
                              <w:szCs w:val="12"/>
                            </w:rPr>
                            <w:t xml:space="preserve">Royal Borough of Greenwich Pension Fund </w:t>
                          </w:r>
                          <w:r w:rsidR="00131048" w:rsidRPr="002C1FBA">
                            <w:rPr>
                              <w:color w:val="009FE3"/>
                              <w:sz w:val="12"/>
                              <w:szCs w:val="12"/>
                            </w:rPr>
                            <w:t xml:space="preserve">| </w:t>
                          </w:r>
                          <w:r w:rsidR="00131048">
                            <w:rPr>
                              <w:color w:val="009FE3"/>
                              <w:sz w:val="12"/>
                              <w:szCs w:val="12"/>
                            </w:rPr>
                            <w:t>Debt spreading</w:t>
                          </w:r>
                          <w:r w:rsidR="00131048" w:rsidRPr="00D12FC0">
                            <w:rPr>
                              <w:color w:val="009FE3"/>
                              <w:sz w:val="12"/>
                              <w:szCs w:val="12"/>
                            </w:rPr>
                            <w:t xml:space="preserve"> and deferred debt </w:t>
                          </w:r>
                          <w:r w:rsidR="00131048">
                            <w:rPr>
                              <w:color w:val="009FE3"/>
                              <w:sz w:val="12"/>
                              <w:szCs w:val="12"/>
                            </w:rPr>
                            <w:t xml:space="preserve">agreement </w:t>
                          </w:r>
                          <w:r w:rsidR="00131048" w:rsidRPr="00D12FC0">
                            <w:rPr>
                              <w:color w:val="009FE3"/>
                              <w:sz w:val="12"/>
                              <w:szCs w:val="12"/>
                            </w:rPr>
                            <w:t>policies</w:t>
                          </w:r>
                          <w:r w:rsidR="00131048">
                            <w:rPr>
                              <w:color w:val="009FE3"/>
                              <w:sz w:val="12"/>
                              <w:szCs w:val="12"/>
                            </w:rPr>
                            <w:t xml:space="preserve"> </w:t>
                          </w:r>
                          <w:r w:rsidR="00131048">
                            <w:rPr>
                              <w:color w:val="009FE3"/>
                              <w:sz w:val="12"/>
                              <w:szCs w:val="12"/>
                            </w:rPr>
                            <w:fldChar w:fldCharType="begin"/>
                          </w:r>
                          <w:r w:rsidR="00131048">
                            <w:rPr>
                              <w:color w:val="009FE3"/>
                              <w:sz w:val="12"/>
                              <w:szCs w:val="12"/>
                            </w:rPr>
                            <w:instrText xml:space="preserve"> MERGEFIELD NewEmployer </w:instrText>
                          </w:r>
                          <w:r w:rsidR="00131048">
                            <w:rPr>
                              <w:color w:val="009FE3"/>
                              <w:sz w:val="12"/>
                              <w:szCs w:val="12"/>
                            </w:rPr>
                            <w:fldChar w:fldCharType="end"/>
                          </w:r>
                          <w:r w:rsidR="00131048" w:rsidRPr="002C1FBA">
                            <w:rPr>
                              <w:color w:val="009FE3"/>
                              <w:sz w:val="12"/>
                              <w:szCs w:val="12"/>
                            </w:rPr>
                            <w:t>|</w:t>
                          </w:r>
                          <w:r w:rsidR="00131048">
                            <w:rPr>
                              <w:color w:val="009FE3"/>
                              <w:sz w:val="12"/>
                              <w:szCs w:val="12"/>
                            </w:rPr>
                            <w:t xml:space="preserve"> </w:t>
                          </w:r>
                          <w:r w:rsidR="001C19A8">
                            <w:rPr>
                              <w:sz w:val="12"/>
                              <w:szCs w:val="12"/>
                            </w:rPr>
                            <w:fldChar w:fldCharType="begin"/>
                          </w:r>
                          <w:r w:rsidR="001C19A8">
                            <w:rPr>
                              <w:sz w:val="12"/>
                              <w:szCs w:val="12"/>
                            </w:rPr>
                            <w:instrText xml:space="preserve"> COMMENTS  "6 December 2021" </w:instrText>
                          </w:r>
                          <w:r w:rsidR="001C19A8">
                            <w:rPr>
                              <w:sz w:val="12"/>
                              <w:szCs w:val="12"/>
                            </w:rPr>
                            <w:fldChar w:fldCharType="separate"/>
                          </w:r>
                          <w:r w:rsidR="001C19A8">
                            <w:rPr>
                              <w:sz w:val="12"/>
                              <w:szCs w:val="12"/>
                            </w:rPr>
                            <w:t>6 December 2021</w:t>
                          </w:r>
                          <w:r w:rsidR="001C19A8">
                            <w:rPr>
                              <w:sz w:val="12"/>
                              <w:szCs w:val="12"/>
                            </w:rPr>
                            <w:fldChar w:fldCharType="end"/>
                          </w:r>
                          <w:r w:rsidR="00131048">
                            <w:rPr>
                              <w:color w:val="009FE3"/>
                              <w:sz w:val="12"/>
                              <w:szCs w:val="12"/>
                            </w:rPr>
                            <w:t xml:space="preserve"> </w:t>
                          </w:r>
                        </w:p>
                        <w:p w14:paraId="00C4D957" w14:textId="77777777" w:rsidR="00131048" w:rsidRPr="002C1FBA" w:rsidRDefault="00131048" w:rsidP="00E066C2">
                          <w:pPr>
                            <w:jc w:val="right"/>
                            <w:rPr>
                              <w:rFonts w:cs="Segoe UI"/>
                              <w:color w:val="797979"/>
                              <w:sz w:val="12"/>
                              <w:szCs w:val="12"/>
                            </w:rPr>
                          </w:pPr>
                        </w:p>
                      </w:txbxContent>
                    </wps:txbx>
                    <wps:bodyPr rot="0" vert="horz" wrap="square" lIns="0" tIns="0" rIns="0" bIns="0" anchor="t" anchorCtr="0">
                      <a:noAutofit/>
                    </wps:bodyPr>
                  </wps:wsp>
                </a:graphicData>
              </a:graphic>
            </wp:inline>
          </w:drawing>
        </mc:Choice>
        <mc:Fallback>
          <w:pict>
            <v:shapetype w14:anchorId="506F6ECF" id="_x0000_t202" coordsize="21600,21600" o:spt="202" path="m,l,21600r21600,l21600,xe">
              <v:stroke joinstyle="miter"/>
              <v:path gradientshapeok="t" o:connecttype="rect"/>
            </v:shapetype>
            <v:shape id="Text Box 2" o:spid="_x0000_s1026" type="#_x0000_t202" style="width:458.8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" stroked="f">
              <v:textbox inset="0,0,0,0">
                <w:txbxContent>
                  <w:p w14:paraId="169582BA" w14:textId="0942CA68" w:rsidR="00131048" w:rsidRPr="002C1FBA" w:rsidRDefault="00B21077" w:rsidP="00E066C2">
                    <w:pPr>
                      <w:jc w:val="right"/>
                      <w:rPr>
                        <w:rFonts w:cs="Segoe UI"/>
                        <w:color w:val="797979"/>
                        <w:sz w:val="12"/>
                        <w:szCs w:val="12"/>
                      </w:rPr>
                    </w:pPr>
                    <w:r w:rsidRPr="00B21077">
                      <w:rPr>
                        <w:sz w:val="12"/>
                        <w:szCs w:val="12"/>
                      </w:rPr>
                      <w:t xml:space="preserve">Royal Borough of Greenwich Pension Fund </w:t>
                    </w:r>
                    <w:r w:rsidR="00131048" w:rsidRPr="002C1FBA">
                      <w:rPr>
                        <w:color w:val="009FE3"/>
                        <w:sz w:val="12"/>
                        <w:szCs w:val="12"/>
                      </w:rPr>
                      <w:t xml:space="preserve">| </w:t>
                    </w:r>
                    <w:r w:rsidR="00131048">
                      <w:rPr>
                        <w:color w:val="009FE3"/>
                        <w:sz w:val="12"/>
                        <w:szCs w:val="12"/>
                      </w:rPr>
                      <w:t>Debt spreading</w:t>
                    </w:r>
                    <w:r w:rsidR="00131048" w:rsidRPr="00D12FC0">
                      <w:rPr>
                        <w:color w:val="009FE3"/>
                        <w:sz w:val="12"/>
                        <w:szCs w:val="12"/>
                      </w:rPr>
                      <w:t xml:space="preserve"> and deferred debt </w:t>
                    </w:r>
                    <w:r w:rsidR="00131048">
                      <w:rPr>
                        <w:color w:val="009FE3"/>
                        <w:sz w:val="12"/>
                        <w:szCs w:val="12"/>
                      </w:rPr>
                      <w:t xml:space="preserve">agreement </w:t>
                    </w:r>
                    <w:r w:rsidR="00131048" w:rsidRPr="00D12FC0">
                      <w:rPr>
                        <w:color w:val="009FE3"/>
                        <w:sz w:val="12"/>
                        <w:szCs w:val="12"/>
                      </w:rPr>
                      <w:t>policies</w:t>
                    </w:r>
                    <w:r w:rsidR="00131048">
                      <w:rPr>
                        <w:color w:val="009FE3"/>
                        <w:sz w:val="12"/>
                        <w:szCs w:val="12"/>
                      </w:rPr>
                      <w:t xml:space="preserve"> </w:t>
                    </w:r>
                    <w:r w:rsidR="00131048">
                      <w:rPr>
                        <w:color w:val="009FE3"/>
                        <w:sz w:val="12"/>
                        <w:szCs w:val="12"/>
                      </w:rPr>
                      <w:fldChar w:fldCharType="begin"/>
                    </w:r>
                    <w:r w:rsidR="00131048">
                      <w:rPr>
                        <w:color w:val="009FE3"/>
                        <w:sz w:val="12"/>
                        <w:szCs w:val="12"/>
                      </w:rPr>
                      <w:instrText xml:space="preserve"> MERGEFIELD NewEmployer </w:instrText>
                    </w:r>
                    <w:r w:rsidR="00131048">
                      <w:rPr>
                        <w:color w:val="009FE3"/>
                        <w:sz w:val="12"/>
                        <w:szCs w:val="12"/>
                      </w:rPr>
                      <w:fldChar w:fldCharType="end"/>
                    </w:r>
                    <w:r w:rsidR="00131048" w:rsidRPr="002C1FBA">
                      <w:rPr>
                        <w:color w:val="009FE3"/>
                        <w:sz w:val="12"/>
                        <w:szCs w:val="12"/>
                      </w:rPr>
                      <w:t>|</w:t>
                    </w:r>
                    <w:r w:rsidR="00131048">
                      <w:rPr>
                        <w:color w:val="009FE3"/>
                        <w:sz w:val="12"/>
                        <w:szCs w:val="12"/>
                      </w:rPr>
                      <w:t xml:space="preserve"> </w:t>
                    </w:r>
                    <w:r w:rsidR="001C19A8">
                      <w:rPr>
                        <w:sz w:val="12"/>
                        <w:szCs w:val="12"/>
                      </w:rPr>
                      <w:fldChar w:fldCharType="begin"/>
                    </w:r>
                    <w:r w:rsidR="001C19A8">
                      <w:rPr>
                        <w:sz w:val="12"/>
                        <w:szCs w:val="12"/>
                      </w:rPr>
                      <w:instrText xml:space="preserve"> COMMENTS  "6 December 2021" </w:instrText>
                    </w:r>
                    <w:r w:rsidR="001C19A8">
                      <w:rPr>
                        <w:sz w:val="12"/>
                        <w:szCs w:val="12"/>
                      </w:rPr>
                      <w:fldChar w:fldCharType="separate"/>
                    </w:r>
                    <w:r w:rsidR="001C19A8">
                      <w:rPr>
                        <w:sz w:val="12"/>
                        <w:szCs w:val="12"/>
                      </w:rPr>
                      <w:t>6 December 2021</w:t>
                    </w:r>
                    <w:r w:rsidR="001C19A8">
                      <w:rPr>
                        <w:sz w:val="12"/>
                        <w:szCs w:val="12"/>
                      </w:rPr>
                      <w:fldChar w:fldCharType="end"/>
                    </w:r>
                    <w:r w:rsidR="00131048">
                      <w:rPr>
                        <w:color w:val="009FE3"/>
                        <w:sz w:val="12"/>
                        <w:szCs w:val="12"/>
                      </w:rPr>
                      <w:t xml:space="preserve"> </w:t>
                    </w:r>
                  </w:p>
                  <w:p w14:paraId="00C4D957" w14:textId="77777777" w:rsidR="00131048" w:rsidRPr="002C1FBA" w:rsidRDefault="00131048" w:rsidP="00E066C2">
                    <w:pPr>
                      <w:jc w:val="right"/>
                      <w:rPr>
                        <w:rFonts w:cs="Segoe UI"/>
                        <w:color w:val="797979"/>
                        <w:sz w:val="12"/>
                        <w:szCs w:val="12"/>
                      </w:rPr>
                    </w:pPr>
                  </w:p>
                </w:txbxContent>
              </v:textbox>
              <w10:anchorlock/>
            </v:shape>
          </w:pict>
        </mc:Fallback>
      </mc:AlternateContent>
    </w:r>
  </w:p>
  <w:p w14:paraId="0505F407" w14:textId="741EDAC6" w:rsidR="00131048" w:rsidRPr="00615554" w:rsidRDefault="00131048" w:rsidP="00E066C2">
    <w:pPr>
      <w:pStyle w:val="Footer"/>
      <w:rPr>
        <w:sz w:val="13"/>
        <w:szCs w:val="13"/>
      </w:rPr>
    </w:pPr>
    <w:r w:rsidRPr="004F015E">
      <w:rPr>
        <w:noProof/>
        <w:color w:val="797979"/>
        <w:sz w:val="13"/>
        <w:szCs w:val="13"/>
        <w:lang w:eastAsia="en-GB"/>
      </w:rPr>
      <mc:AlternateContent>
        <mc:Choice Requires="wps">
          <w:drawing>
            <wp:inline distT="0" distB="0" distL="0" distR="0" wp14:anchorId="7A78560D" wp14:editId="28919AD4">
              <wp:extent cx="6141720" cy="1404620"/>
              <wp:effectExtent l="0" t="0" r="0" b="38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noFill/>
                        <a:miter lim="800000"/>
                        <a:headEnd/>
                        <a:tailEnd/>
                      </a:ln>
                    </wps:spPr>
                    <wps:txbx>
                      <w:txbxContent>
                        <w:p w14:paraId="18CB3D5E" w14:textId="5D50B0EF" w:rsidR="00131048" w:rsidRPr="002C1FBA" w:rsidRDefault="00131048" w:rsidP="00E066C2">
                          <w:pPr>
                            <w:jc w:val="right"/>
                            <w:rPr>
                              <w:rFonts w:cs="Segoe UI"/>
                              <w:color w:val="797979"/>
                              <w:sz w:val="12"/>
                              <w:szCs w:val="12"/>
                            </w:rPr>
                          </w:pPr>
                          <w:r w:rsidRPr="002C1FBA">
                            <w:rPr>
                              <w:color w:val="797979"/>
                              <w:sz w:val="12"/>
                              <w:szCs w:val="12"/>
                            </w:rPr>
                            <w:fldChar w:fldCharType="begin"/>
                          </w:r>
                          <w:r w:rsidRPr="002C1FBA">
                            <w:rPr>
                              <w:color w:val="797979"/>
                              <w:sz w:val="12"/>
                              <w:szCs w:val="12"/>
                            </w:rPr>
                            <w:instrText xml:space="preserve"> PAGE   \* MERGEFORMAT </w:instrText>
                          </w:r>
                          <w:r w:rsidRPr="002C1FBA">
                            <w:rPr>
                              <w:color w:val="797979"/>
                              <w:sz w:val="12"/>
                              <w:szCs w:val="12"/>
                            </w:rPr>
                            <w:fldChar w:fldCharType="separate"/>
                          </w:r>
                          <w:r w:rsidR="004C7771">
                            <w:rPr>
                              <w:noProof/>
                              <w:color w:val="797979"/>
                              <w:sz w:val="12"/>
                              <w:szCs w:val="12"/>
                            </w:rPr>
                            <w:t>14</w:t>
                          </w:r>
                          <w:r w:rsidRPr="002C1FBA">
                            <w:rPr>
                              <w:noProof/>
                              <w:color w:val="797979"/>
                              <w:sz w:val="12"/>
                              <w:szCs w:val="12"/>
                            </w:rPr>
                            <w:fldChar w:fldCharType="end"/>
                          </w:r>
                          <w:r w:rsidRPr="002C1FBA">
                            <w:rPr>
                              <w:noProof/>
                              <w:color w:val="797979"/>
                              <w:sz w:val="12"/>
                              <w:szCs w:val="12"/>
                            </w:rPr>
                            <w:t xml:space="preserve"> of </w:t>
                          </w:r>
                          <w:r w:rsidRPr="002C1FBA">
                            <w:rPr>
                              <w:noProof/>
                              <w:color w:val="797979"/>
                              <w:sz w:val="12"/>
                              <w:szCs w:val="12"/>
                            </w:rPr>
                            <w:fldChar w:fldCharType="begin"/>
                          </w:r>
                          <w:r w:rsidRPr="002C1FBA">
                            <w:rPr>
                              <w:noProof/>
                              <w:color w:val="797979"/>
                              <w:sz w:val="12"/>
                              <w:szCs w:val="12"/>
                            </w:rPr>
                            <w:instrText xml:space="preserve"> NUMPAGES   \* MERGEFORMAT </w:instrText>
                          </w:r>
                          <w:r w:rsidRPr="002C1FBA">
                            <w:rPr>
                              <w:noProof/>
                              <w:color w:val="797979"/>
                              <w:sz w:val="12"/>
                              <w:szCs w:val="12"/>
                            </w:rPr>
                            <w:fldChar w:fldCharType="separate"/>
                          </w:r>
                          <w:r w:rsidR="004C7771">
                            <w:rPr>
                              <w:noProof/>
                              <w:color w:val="797979"/>
                              <w:sz w:val="12"/>
                              <w:szCs w:val="12"/>
                            </w:rPr>
                            <w:t>14</w:t>
                          </w:r>
                          <w:r w:rsidRPr="002C1FBA">
                            <w:rPr>
                              <w:noProof/>
                              <w:color w:val="797979"/>
                              <w:sz w:val="12"/>
                              <w:szCs w:val="12"/>
                            </w:rPr>
                            <w:fldChar w:fldCharType="end"/>
                          </w:r>
                        </w:p>
                      </w:txbxContent>
                    </wps:txbx>
                    <wps:bodyPr rot="0" vert="horz" wrap="square" lIns="0" tIns="0" rIns="0" bIns="0" anchor="t" anchorCtr="0">
                      <a:spAutoFit/>
                    </wps:bodyPr>
                  </wps:wsp>
                </a:graphicData>
              </a:graphic>
            </wp:inline>
          </w:drawing>
        </mc:Choice>
        <mc:Fallback>
          <w:pict>
            <v:shape w14:anchorId="7A78560D" id="_x0000_s1027" type="#_x0000_t202" style="width:48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" stroked="f">
              <v:textbox style="mso-fit-shape-to-text:t" inset="0,0,0,0">
                <w:txbxContent>
                  <w:p w14:paraId="18CB3D5E" w14:textId="5D50B0EF" w:rsidR="00131048" w:rsidRPr="002C1FBA" w:rsidRDefault="00131048" w:rsidP="00E066C2">
                    <w:pPr>
                      <w:jc w:val="right"/>
                      <w:rPr>
                        <w:rFonts w:cs="Segoe UI"/>
                        <w:color w:val="797979"/>
                        <w:sz w:val="12"/>
                        <w:szCs w:val="12"/>
                      </w:rPr>
                    </w:pPr>
                    <w:r w:rsidRPr="002C1FBA">
                      <w:rPr>
                        <w:color w:val="797979"/>
                        <w:sz w:val="12"/>
                        <w:szCs w:val="12"/>
                      </w:rPr>
                      <w:fldChar w:fldCharType="begin"/>
                    </w:r>
                    <w:r w:rsidRPr="002C1FBA">
                      <w:rPr>
                        <w:color w:val="797979"/>
                        <w:sz w:val="12"/>
                        <w:szCs w:val="12"/>
                      </w:rPr>
                      <w:instrText xml:space="preserve"> PAGE   \* MERGEFORMAT </w:instrText>
                    </w:r>
                    <w:r w:rsidRPr="002C1FBA">
                      <w:rPr>
                        <w:color w:val="797979"/>
                        <w:sz w:val="12"/>
                        <w:szCs w:val="12"/>
                      </w:rPr>
                      <w:fldChar w:fldCharType="separate"/>
                    </w:r>
                    <w:r w:rsidR="004C7771">
                      <w:rPr>
                        <w:noProof/>
                        <w:color w:val="797979"/>
                        <w:sz w:val="12"/>
                        <w:szCs w:val="12"/>
                      </w:rPr>
                      <w:t>14</w:t>
                    </w:r>
                    <w:r w:rsidRPr="002C1FBA">
                      <w:rPr>
                        <w:noProof/>
                        <w:color w:val="797979"/>
                        <w:sz w:val="12"/>
                        <w:szCs w:val="12"/>
                      </w:rPr>
                      <w:fldChar w:fldCharType="end"/>
                    </w:r>
                    <w:r w:rsidRPr="002C1FBA">
                      <w:rPr>
                        <w:noProof/>
                        <w:color w:val="797979"/>
                        <w:sz w:val="12"/>
                        <w:szCs w:val="12"/>
                      </w:rPr>
                      <w:t xml:space="preserve"> of </w:t>
                    </w:r>
                    <w:r w:rsidRPr="002C1FBA">
                      <w:rPr>
                        <w:noProof/>
                        <w:color w:val="797979"/>
                        <w:sz w:val="12"/>
                        <w:szCs w:val="12"/>
                      </w:rPr>
                      <w:fldChar w:fldCharType="begin"/>
                    </w:r>
                    <w:r w:rsidRPr="002C1FBA">
                      <w:rPr>
                        <w:noProof/>
                        <w:color w:val="797979"/>
                        <w:sz w:val="12"/>
                        <w:szCs w:val="12"/>
                      </w:rPr>
                      <w:instrText xml:space="preserve"> NUMPAGES   \* MERGEFORMAT </w:instrText>
                    </w:r>
                    <w:r w:rsidRPr="002C1FBA">
                      <w:rPr>
                        <w:noProof/>
                        <w:color w:val="797979"/>
                        <w:sz w:val="12"/>
                        <w:szCs w:val="12"/>
                      </w:rPr>
                      <w:fldChar w:fldCharType="separate"/>
                    </w:r>
                    <w:r w:rsidR="004C7771">
                      <w:rPr>
                        <w:noProof/>
                        <w:color w:val="797979"/>
                        <w:sz w:val="12"/>
                        <w:szCs w:val="12"/>
                      </w:rPr>
                      <w:t>14</w:t>
                    </w:r>
                    <w:r w:rsidRPr="002C1FBA">
                      <w:rPr>
                        <w:noProof/>
                        <w:color w:val="797979"/>
                        <w:sz w:val="12"/>
                        <w:szCs w:val="12"/>
                      </w:rPr>
                      <w:fldChar w:fldCharType="end"/>
                    </w:r>
                  </w:p>
                </w:txbxContent>
              </v:textbox>
              <w10:anchorlock/>
            </v:shape>
          </w:pict>
        </mc:Fallback>
      </mc:AlternateContent>
    </w:r>
  </w:p>
  <w:p w14:paraId="05691567" w14:textId="7D54CFB2" w:rsidR="00131048" w:rsidRPr="00615554" w:rsidRDefault="00131048">
    <w:pPr>
      <w:pStyle w:val="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A015" w14:textId="77777777" w:rsidR="00131048" w:rsidRDefault="00131048" w:rsidP="00615554">
      <w:r>
        <w:separator/>
      </w:r>
    </w:p>
  </w:footnote>
  <w:footnote w:type="continuationSeparator" w:id="0">
    <w:p w14:paraId="347ADF87" w14:textId="77777777" w:rsidR="00131048" w:rsidRDefault="00131048" w:rsidP="0061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5DEB670"/>
    <w:lvl w:ilvl="0">
      <w:start w:val="1"/>
      <w:numFmt w:val="decimal"/>
      <w:pStyle w:val="ListNumber"/>
      <w:lvlText w:val="%1"/>
      <w:lvlJc w:val="left"/>
      <w:pPr>
        <w:tabs>
          <w:tab w:val="num" w:pos="360"/>
        </w:tabs>
        <w:ind w:left="360" w:hanging="360"/>
      </w:pPr>
      <w:rPr>
        <w:rFonts w:hint="default"/>
        <w:color w:val="009FE3" w:themeColor="background2"/>
      </w:rPr>
    </w:lvl>
  </w:abstractNum>
  <w:abstractNum w:abstractNumId="1" w15:restartNumberingAfterBreak="0">
    <w:nsid w:val="FFFFFF89"/>
    <w:multiLevelType w:val="hybridMultilevel"/>
    <w:tmpl w:val="2492759C"/>
    <w:lvl w:ilvl="0" w:tplc="4B765820">
      <w:start w:val="1"/>
      <w:numFmt w:val="bullet"/>
      <w:pStyle w:val="ListBullet"/>
      <w:lvlText w:val=""/>
      <w:lvlJc w:val="left"/>
      <w:pPr>
        <w:tabs>
          <w:tab w:val="num" w:pos="360"/>
        </w:tabs>
        <w:ind w:left="360" w:hanging="360"/>
      </w:pPr>
      <w:rPr>
        <w:rFonts w:ascii="Symbol" w:hAnsi="Symbol" w:hint="default"/>
        <w:color w:val="009FE3" w:themeColor="background2"/>
      </w:rPr>
    </w:lvl>
    <w:lvl w:ilvl="1" w:tplc="4E5A65F6">
      <w:numFmt w:val="decimal"/>
      <w:lvlText w:val=""/>
      <w:lvlJc w:val="left"/>
    </w:lvl>
    <w:lvl w:ilvl="2" w:tplc="E3FA9014">
      <w:numFmt w:val="decimal"/>
      <w:lvlText w:val=""/>
      <w:lvlJc w:val="left"/>
    </w:lvl>
    <w:lvl w:ilvl="3" w:tplc="C7C68854">
      <w:numFmt w:val="decimal"/>
      <w:lvlText w:val=""/>
      <w:lvlJc w:val="left"/>
    </w:lvl>
    <w:lvl w:ilvl="4" w:tplc="75BC3350">
      <w:numFmt w:val="decimal"/>
      <w:lvlText w:val=""/>
      <w:lvlJc w:val="left"/>
    </w:lvl>
    <w:lvl w:ilvl="5" w:tplc="EB920974">
      <w:numFmt w:val="decimal"/>
      <w:lvlText w:val=""/>
      <w:lvlJc w:val="left"/>
    </w:lvl>
    <w:lvl w:ilvl="6" w:tplc="1ECE0616">
      <w:numFmt w:val="decimal"/>
      <w:lvlText w:val=""/>
      <w:lvlJc w:val="left"/>
    </w:lvl>
    <w:lvl w:ilvl="7" w:tplc="C7D2561E">
      <w:numFmt w:val="decimal"/>
      <w:lvlText w:val=""/>
      <w:lvlJc w:val="left"/>
    </w:lvl>
    <w:lvl w:ilvl="8" w:tplc="3A461CAC">
      <w:numFmt w:val="decimal"/>
      <w:lvlText w:val=""/>
      <w:lvlJc w:val="left"/>
    </w:lvl>
  </w:abstractNum>
  <w:abstractNum w:abstractNumId="2" w15:restartNumberingAfterBreak="0">
    <w:nsid w:val="08501069"/>
    <w:multiLevelType w:val="hybridMultilevel"/>
    <w:tmpl w:val="5F62B5A6"/>
    <w:lvl w:ilvl="0" w:tplc="F0548D8E">
      <w:start w:val="1"/>
      <w:numFmt w:val="bullet"/>
      <w:pStyle w:val="List"/>
      <w:lvlText w:val=""/>
      <w:lvlJc w:val="left"/>
      <w:pPr>
        <w:ind w:left="720" w:hanging="360"/>
      </w:pPr>
      <w:rPr>
        <w:rFonts w:ascii="Symbol" w:hAnsi="Symbol" w:hint="default"/>
        <w:color w:val="009FE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BBF"/>
    <w:multiLevelType w:val="multilevel"/>
    <w:tmpl w:val="CA0E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D60F8"/>
    <w:multiLevelType w:val="hybridMultilevel"/>
    <w:tmpl w:val="9A6E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5336D"/>
    <w:multiLevelType w:val="hybridMultilevel"/>
    <w:tmpl w:val="40264166"/>
    <w:lvl w:ilvl="0" w:tplc="2C7E271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40509"/>
    <w:multiLevelType w:val="hybridMultilevel"/>
    <w:tmpl w:val="510821EE"/>
    <w:lvl w:ilvl="0" w:tplc="669E459E">
      <w:start w:val="1"/>
      <w:numFmt w:val="decimal"/>
      <w:pStyle w:val="AppendixHeading"/>
      <w:lvlText w:val="Appendix %1"/>
      <w:lvlJc w:val="left"/>
      <w:pPr>
        <w:ind w:left="360" w:hanging="360"/>
      </w:pPr>
      <w:rPr>
        <w:rFonts w:ascii="Arial Bold" w:cs="Times New Roman" w:hint="cs"/>
        <w:b/>
        <w:bCs w:val="0"/>
        <w:i w:val="0"/>
        <w:iCs w:val="0"/>
        <w:caps w:val="0"/>
        <w:smallCaps w:val="0"/>
        <w:strike w:val="0"/>
        <w:dstrike w:val="0"/>
        <w:noProof w:val="0"/>
        <w:vanish w:val="0"/>
        <w:color w:val="009FE3" w:themeColor="background2"/>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AA57109"/>
    <w:multiLevelType w:val="hybridMultilevel"/>
    <w:tmpl w:val="784A248E"/>
    <w:lvl w:ilvl="0" w:tplc="2EB6646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47E8F"/>
    <w:multiLevelType w:val="hybridMultilevel"/>
    <w:tmpl w:val="2C8EC6E8"/>
    <w:lvl w:ilvl="0" w:tplc="62A4867A">
      <w:start w:val="1"/>
      <w:numFmt w:val="bullet"/>
      <w:lvlText w:val="-"/>
      <w:lvlJc w:val="left"/>
      <w:pPr>
        <w:ind w:left="2705" w:hanging="360"/>
      </w:pPr>
      <w:rPr>
        <w:rFonts w:ascii="Courier New" w:hAnsi="Courier New"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9" w15:restartNumberingAfterBreak="0">
    <w:nsid w:val="3BCF41DA"/>
    <w:multiLevelType w:val="hybridMultilevel"/>
    <w:tmpl w:val="FE825230"/>
    <w:lvl w:ilvl="0" w:tplc="62A4867A">
      <w:start w:val="1"/>
      <w:numFmt w:val="bullet"/>
      <w:lvlText w:val="-"/>
      <w:lvlJc w:val="left"/>
      <w:pPr>
        <w:ind w:left="720" w:hanging="360"/>
      </w:pPr>
      <w:rPr>
        <w:rFonts w:ascii="Courier New" w:hAnsi="Courier New" w:hint="default"/>
      </w:rPr>
    </w:lvl>
    <w:lvl w:ilvl="1" w:tplc="62A4867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A335E"/>
    <w:multiLevelType w:val="hybridMultilevel"/>
    <w:tmpl w:val="6AB898F6"/>
    <w:lvl w:ilvl="0" w:tplc="B51C8EB2">
      <w:start w:val="1"/>
      <w:numFmt w:val="decimal"/>
      <w:pStyle w:val="NumberedList"/>
      <w:lvlText w:val="%1."/>
      <w:lvlJc w:val="left"/>
      <w:pPr>
        <w:ind w:left="720" w:hanging="360"/>
      </w:pPr>
      <w:rPr>
        <w:rFonts w:ascii="Segoe UI" w:hAnsi="Segoe UI" w:hint="default"/>
        <w:b w:val="0"/>
        <w:i w:val="0"/>
        <w:color w:val="009FE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9605E"/>
    <w:multiLevelType w:val="hybridMultilevel"/>
    <w:tmpl w:val="5EF4141C"/>
    <w:lvl w:ilvl="0" w:tplc="0809001B">
      <w:start w:val="1"/>
      <w:numFmt w:val="lowerRoman"/>
      <w:lvlText w:val="%1."/>
      <w:lvlJc w:val="righ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3E7BA8"/>
    <w:multiLevelType w:val="hybridMultilevel"/>
    <w:tmpl w:val="67C0C40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62A4867A">
      <w:start w:val="1"/>
      <w:numFmt w:val="bullet"/>
      <w:lvlText w:val="-"/>
      <w:lvlJc w:val="left"/>
      <w:pPr>
        <w:ind w:left="1882" w:hanging="180"/>
      </w:pPr>
      <w:rPr>
        <w:rFonts w:ascii="Courier New" w:hAnsi="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F17E02"/>
    <w:multiLevelType w:val="hybridMultilevel"/>
    <w:tmpl w:val="518A973C"/>
    <w:lvl w:ilvl="0" w:tplc="0D26BCA0">
      <w:start w:val="1"/>
      <w:numFmt w:val="bullet"/>
      <w:lvlText w:val=""/>
      <w:lvlJc w:val="left"/>
      <w:pPr>
        <w:ind w:left="720" w:hanging="360"/>
      </w:pPr>
      <w:rPr>
        <w:rFonts w:ascii="Symbol" w:hAnsi="Symbol" w:hint="default"/>
        <w:color w:val="F687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3"/>
  </w:num>
  <w:num w:numId="5">
    <w:abstractNumId w:val="1"/>
  </w:num>
  <w:num w:numId="6">
    <w:abstractNumId w:val="0"/>
  </w:num>
  <w:num w:numId="7">
    <w:abstractNumId w:val="6"/>
  </w:num>
  <w:num w:numId="8">
    <w:abstractNumId w:val="13"/>
  </w:num>
  <w:num w:numId="9">
    <w:abstractNumId w:val="1"/>
  </w:num>
  <w:num w:numId="10">
    <w:abstractNumId w:val="0"/>
  </w:num>
  <w:num w:numId="11">
    <w:abstractNumId w:val="6"/>
  </w:num>
  <w:num w:numId="12">
    <w:abstractNumId w:val="13"/>
  </w:num>
  <w:num w:numId="13">
    <w:abstractNumId w:val="1"/>
  </w:num>
  <w:num w:numId="14">
    <w:abstractNumId w:val="0"/>
  </w:num>
  <w:num w:numId="15">
    <w:abstractNumId w:val="6"/>
  </w:num>
  <w:num w:numId="16">
    <w:abstractNumId w:val="2"/>
  </w:num>
  <w:num w:numId="17">
    <w:abstractNumId w:val="10"/>
  </w:num>
  <w:num w:numId="18">
    <w:abstractNumId w:val="4"/>
  </w:num>
  <w:num w:numId="19">
    <w:abstractNumId w:val="5"/>
  </w:num>
  <w:num w:numId="20">
    <w:abstractNumId w:val="11"/>
  </w:num>
  <w:num w:numId="21">
    <w:abstractNumId w:val="9"/>
  </w:num>
  <w:num w:numId="22">
    <w:abstractNumId w:val="8"/>
  </w:num>
  <w:num w:numId="23">
    <w:abstractNumId w:val="7"/>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6B"/>
    <w:rsid w:val="00001281"/>
    <w:rsid w:val="00001DC8"/>
    <w:rsid w:val="000032E1"/>
    <w:rsid w:val="00007C58"/>
    <w:rsid w:val="000221F1"/>
    <w:rsid w:val="0003197E"/>
    <w:rsid w:val="00033B06"/>
    <w:rsid w:val="00033DFF"/>
    <w:rsid w:val="00035AC3"/>
    <w:rsid w:val="00037689"/>
    <w:rsid w:val="00043F6B"/>
    <w:rsid w:val="0005281D"/>
    <w:rsid w:val="00054776"/>
    <w:rsid w:val="000615E9"/>
    <w:rsid w:val="000646F4"/>
    <w:rsid w:val="00066AC0"/>
    <w:rsid w:val="00076695"/>
    <w:rsid w:val="00080D81"/>
    <w:rsid w:val="000865DD"/>
    <w:rsid w:val="00093722"/>
    <w:rsid w:val="00095D9B"/>
    <w:rsid w:val="00097F47"/>
    <w:rsid w:val="000B511E"/>
    <w:rsid w:val="000B5AB9"/>
    <w:rsid w:val="000C5429"/>
    <w:rsid w:val="000C6435"/>
    <w:rsid w:val="000C7FA1"/>
    <w:rsid w:val="000D32F6"/>
    <w:rsid w:val="000D597E"/>
    <w:rsid w:val="000D73C8"/>
    <w:rsid w:val="000D79FE"/>
    <w:rsid w:val="000E6142"/>
    <w:rsid w:val="000F5FF2"/>
    <w:rsid w:val="00111CBA"/>
    <w:rsid w:val="00112937"/>
    <w:rsid w:val="00117A8F"/>
    <w:rsid w:val="001221F7"/>
    <w:rsid w:val="00125517"/>
    <w:rsid w:val="00131048"/>
    <w:rsid w:val="00154ED1"/>
    <w:rsid w:val="0016247E"/>
    <w:rsid w:val="00164614"/>
    <w:rsid w:val="00172471"/>
    <w:rsid w:val="00172572"/>
    <w:rsid w:val="0017355A"/>
    <w:rsid w:val="001A4FA6"/>
    <w:rsid w:val="001C1135"/>
    <w:rsid w:val="001C1342"/>
    <w:rsid w:val="001C19A8"/>
    <w:rsid w:val="001D0F1A"/>
    <w:rsid w:val="001F26AB"/>
    <w:rsid w:val="00230856"/>
    <w:rsid w:val="00232E77"/>
    <w:rsid w:val="0023553F"/>
    <w:rsid w:val="0024039F"/>
    <w:rsid w:val="002479F2"/>
    <w:rsid w:val="0025084D"/>
    <w:rsid w:val="002751AB"/>
    <w:rsid w:val="0027543D"/>
    <w:rsid w:val="0027773D"/>
    <w:rsid w:val="00286FF0"/>
    <w:rsid w:val="002A0F6B"/>
    <w:rsid w:val="002A425F"/>
    <w:rsid w:val="002A5772"/>
    <w:rsid w:val="002B2947"/>
    <w:rsid w:val="002C059D"/>
    <w:rsid w:val="002D359D"/>
    <w:rsid w:val="002D4065"/>
    <w:rsid w:val="002E093E"/>
    <w:rsid w:val="002F0256"/>
    <w:rsid w:val="002F132E"/>
    <w:rsid w:val="003044DD"/>
    <w:rsid w:val="00317D9C"/>
    <w:rsid w:val="00324B31"/>
    <w:rsid w:val="00331071"/>
    <w:rsid w:val="00337993"/>
    <w:rsid w:val="00340B2F"/>
    <w:rsid w:val="003437FD"/>
    <w:rsid w:val="00350084"/>
    <w:rsid w:val="00364275"/>
    <w:rsid w:val="00364ED0"/>
    <w:rsid w:val="003B2EFF"/>
    <w:rsid w:val="003B6755"/>
    <w:rsid w:val="003C7E34"/>
    <w:rsid w:val="003D0ECB"/>
    <w:rsid w:val="003F4124"/>
    <w:rsid w:val="004314CA"/>
    <w:rsid w:val="0044625C"/>
    <w:rsid w:val="004474A5"/>
    <w:rsid w:val="0046306A"/>
    <w:rsid w:val="00465FAD"/>
    <w:rsid w:val="00476225"/>
    <w:rsid w:val="004A3ADE"/>
    <w:rsid w:val="004C1F10"/>
    <w:rsid w:val="004C6A37"/>
    <w:rsid w:val="004C7771"/>
    <w:rsid w:val="004E243F"/>
    <w:rsid w:val="004E5B62"/>
    <w:rsid w:val="004F2CD0"/>
    <w:rsid w:val="00515D77"/>
    <w:rsid w:val="00523258"/>
    <w:rsid w:val="00533040"/>
    <w:rsid w:val="0053316B"/>
    <w:rsid w:val="00535300"/>
    <w:rsid w:val="00536F55"/>
    <w:rsid w:val="00542024"/>
    <w:rsid w:val="00546A5E"/>
    <w:rsid w:val="00591FE7"/>
    <w:rsid w:val="00592A95"/>
    <w:rsid w:val="00593BF3"/>
    <w:rsid w:val="005961D3"/>
    <w:rsid w:val="005A276C"/>
    <w:rsid w:val="005B723C"/>
    <w:rsid w:val="005C0FE2"/>
    <w:rsid w:val="005C34CF"/>
    <w:rsid w:val="005C5928"/>
    <w:rsid w:val="005D3E86"/>
    <w:rsid w:val="005F065F"/>
    <w:rsid w:val="005F5333"/>
    <w:rsid w:val="00611A42"/>
    <w:rsid w:val="00615554"/>
    <w:rsid w:val="00617E52"/>
    <w:rsid w:val="00636E19"/>
    <w:rsid w:val="00641A02"/>
    <w:rsid w:val="00654187"/>
    <w:rsid w:val="0066110E"/>
    <w:rsid w:val="0066147B"/>
    <w:rsid w:val="00663BC9"/>
    <w:rsid w:val="00673B73"/>
    <w:rsid w:val="00682B3A"/>
    <w:rsid w:val="00684D5E"/>
    <w:rsid w:val="006C0F34"/>
    <w:rsid w:val="006C2007"/>
    <w:rsid w:val="006D38CA"/>
    <w:rsid w:val="006E6751"/>
    <w:rsid w:val="006E79F2"/>
    <w:rsid w:val="00702061"/>
    <w:rsid w:val="00704CD1"/>
    <w:rsid w:val="00706F2F"/>
    <w:rsid w:val="00711570"/>
    <w:rsid w:val="00711A88"/>
    <w:rsid w:val="00716740"/>
    <w:rsid w:val="007200BB"/>
    <w:rsid w:val="00722608"/>
    <w:rsid w:val="00723122"/>
    <w:rsid w:val="00742489"/>
    <w:rsid w:val="00750B40"/>
    <w:rsid w:val="007538BD"/>
    <w:rsid w:val="007710EB"/>
    <w:rsid w:val="00772CA8"/>
    <w:rsid w:val="007804C2"/>
    <w:rsid w:val="00790DA6"/>
    <w:rsid w:val="007B2114"/>
    <w:rsid w:val="007B54A6"/>
    <w:rsid w:val="007C0FA9"/>
    <w:rsid w:val="007D4A1F"/>
    <w:rsid w:val="007E1A6F"/>
    <w:rsid w:val="007F1392"/>
    <w:rsid w:val="007F77A5"/>
    <w:rsid w:val="00826696"/>
    <w:rsid w:val="00842B3A"/>
    <w:rsid w:val="00892F27"/>
    <w:rsid w:val="008A0A32"/>
    <w:rsid w:val="008C70CD"/>
    <w:rsid w:val="008D05BA"/>
    <w:rsid w:val="008D2113"/>
    <w:rsid w:val="008D796E"/>
    <w:rsid w:val="008E2605"/>
    <w:rsid w:val="008E73E7"/>
    <w:rsid w:val="008F1762"/>
    <w:rsid w:val="00900236"/>
    <w:rsid w:val="0090446E"/>
    <w:rsid w:val="00916D56"/>
    <w:rsid w:val="00926874"/>
    <w:rsid w:val="00934C37"/>
    <w:rsid w:val="00955570"/>
    <w:rsid w:val="00964BF1"/>
    <w:rsid w:val="00965216"/>
    <w:rsid w:val="00972365"/>
    <w:rsid w:val="009754C2"/>
    <w:rsid w:val="009809EE"/>
    <w:rsid w:val="00986B13"/>
    <w:rsid w:val="009A0029"/>
    <w:rsid w:val="009B5750"/>
    <w:rsid w:val="009E361E"/>
    <w:rsid w:val="009F3EBB"/>
    <w:rsid w:val="009F5B34"/>
    <w:rsid w:val="00A054DA"/>
    <w:rsid w:val="00A338EC"/>
    <w:rsid w:val="00A35B05"/>
    <w:rsid w:val="00A42BA0"/>
    <w:rsid w:val="00A44BCE"/>
    <w:rsid w:val="00A94AD5"/>
    <w:rsid w:val="00AA4899"/>
    <w:rsid w:val="00AB190C"/>
    <w:rsid w:val="00AB24D1"/>
    <w:rsid w:val="00AC549C"/>
    <w:rsid w:val="00AC7F5D"/>
    <w:rsid w:val="00AE288D"/>
    <w:rsid w:val="00B005EC"/>
    <w:rsid w:val="00B02CEE"/>
    <w:rsid w:val="00B1038F"/>
    <w:rsid w:val="00B20E48"/>
    <w:rsid w:val="00B21077"/>
    <w:rsid w:val="00B4005B"/>
    <w:rsid w:val="00B40128"/>
    <w:rsid w:val="00B4237C"/>
    <w:rsid w:val="00B43EF6"/>
    <w:rsid w:val="00B47980"/>
    <w:rsid w:val="00B80194"/>
    <w:rsid w:val="00B87100"/>
    <w:rsid w:val="00B87EDE"/>
    <w:rsid w:val="00B92E71"/>
    <w:rsid w:val="00BA45D0"/>
    <w:rsid w:val="00BA5F62"/>
    <w:rsid w:val="00BC1C84"/>
    <w:rsid w:val="00BE352D"/>
    <w:rsid w:val="00BE4282"/>
    <w:rsid w:val="00BF47C6"/>
    <w:rsid w:val="00BF5165"/>
    <w:rsid w:val="00C00878"/>
    <w:rsid w:val="00C27411"/>
    <w:rsid w:val="00C3595E"/>
    <w:rsid w:val="00C51377"/>
    <w:rsid w:val="00C630D4"/>
    <w:rsid w:val="00C736A7"/>
    <w:rsid w:val="00C9570E"/>
    <w:rsid w:val="00C96496"/>
    <w:rsid w:val="00C97DD4"/>
    <w:rsid w:val="00CB755E"/>
    <w:rsid w:val="00CC675B"/>
    <w:rsid w:val="00CF089F"/>
    <w:rsid w:val="00CF25DF"/>
    <w:rsid w:val="00CF67D2"/>
    <w:rsid w:val="00D12FC0"/>
    <w:rsid w:val="00D32868"/>
    <w:rsid w:val="00D32F2B"/>
    <w:rsid w:val="00D334BA"/>
    <w:rsid w:val="00D36D8A"/>
    <w:rsid w:val="00D532D2"/>
    <w:rsid w:val="00D732E3"/>
    <w:rsid w:val="00DA0B74"/>
    <w:rsid w:val="00DB0587"/>
    <w:rsid w:val="00DB4055"/>
    <w:rsid w:val="00DC0A36"/>
    <w:rsid w:val="00DC1601"/>
    <w:rsid w:val="00DC3544"/>
    <w:rsid w:val="00DD5A88"/>
    <w:rsid w:val="00DE479B"/>
    <w:rsid w:val="00DE7AF7"/>
    <w:rsid w:val="00DF4CD6"/>
    <w:rsid w:val="00DF74C0"/>
    <w:rsid w:val="00DF7733"/>
    <w:rsid w:val="00E02389"/>
    <w:rsid w:val="00E058B1"/>
    <w:rsid w:val="00E066C2"/>
    <w:rsid w:val="00E1367A"/>
    <w:rsid w:val="00E14ADA"/>
    <w:rsid w:val="00E14CFE"/>
    <w:rsid w:val="00E21034"/>
    <w:rsid w:val="00E430F9"/>
    <w:rsid w:val="00E45E52"/>
    <w:rsid w:val="00E635A9"/>
    <w:rsid w:val="00E676F3"/>
    <w:rsid w:val="00E877C2"/>
    <w:rsid w:val="00EA4D49"/>
    <w:rsid w:val="00EB50B2"/>
    <w:rsid w:val="00EC1496"/>
    <w:rsid w:val="00ED7A6F"/>
    <w:rsid w:val="00EF153E"/>
    <w:rsid w:val="00F03751"/>
    <w:rsid w:val="00F146EC"/>
    <w:rsid w:val="00F340DA"/>
    <w:rsid w:val="00F360A8"/>
    <w:rsid w:val="00F445F2"/>
    <w:rsid w:val="00F503BB"/>
    <w:rsid w:val="00F54FD7"/>
    <w:rsid w:val="00F723A6"/>
    <w:rsid w:val="00F7623A"/>
    <w:rsid w:val="00F95499"/>
    <w:rsid w:val="00FA2BFD"/>
    <w:rsid w:val="00FA7929"/>
    <w:rsid w:val="00FB3988"/>
    <w:rsid w:val="00FC496B"/>
    <w:rsid w:val="00FC5B25"/>
    <w:rsid w:val="00FD2385"/>
    <w:rsid w:val="00FE0196"/>
    <w:rsid w:val="00FE01E2"/>
    <w:rsid w:val="00FE1529"/>
    <w:rsid w:val="00FF0A57"/>
    <w:rsid w:val="00FF3884"/>
    <w:rsid w:val="00FF6B62"/>
    <w:rsid w:val="0546A425"/>
    <w:rsid w:val="0BF8113F"/>
    <w:rsid w:val="10ABD8F8"/>
    <w:rsid w:val="144D827F"/>
    <w:rsid w:val="14EF4B73"/>
    <w:rsid w:val="158F65DB"/>
    <w:rsid w:val="2604DDBD"/>
    <w:rsid w:val="3687FB29"/>
    <w:rsid w:val="412FBCC6"/>
    <w:rsid w:val="5CB28748"/>
    <w:rsid w:val="5EF2EB22"/>
    <w:rsid w:val="6BD5391B"/>
    <w:rsid w:val="6CF22067"/>
    <w:rsid w:val="6F840311"/>
    <w:rsid w:val="792F83A0"/>
    <w:rsid w:val="7DF4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370ABF"/>
  <w15:chartTrackingRefBased/>
  <w15:docId w15:val="{F1F83407-9E89-456B-96FF-7F579A32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1"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rsid w:val="000646F4"/>
    <w:pPr>
      <w:spacing w:after="0" w:line="240" w:lineRule="auto"/>
    </w:pPr>
    <w:rPr>
      <w:rFonts w:ascii="Segoe UI" w:hAnsi="Segoe UI"/>
    </w:rPr>
  </w:style>
  <w:style w:type="paragraph" w:styleId="Heading1">
    <w:name w:val="heading 1"/>
    <w:basedOn w:val="Normal"/>
    <w:next w:val="BodyText"/>
    <w:link w:val="Heading1Char"/>
    <w:qFormat/>
    <w:rsid w:val="00542024"/>
    <w:pPr>
      <w:keepNext/>
      <w:pageBreakBefore/>
      <w:spacing w:before="240" w:after="240"/>
      <w:outlineLvl w:val="0"/>
    </w:pPr>
    <w:rPr>
      <w:rFonts w:ascii="Segoe UI Semibold" w:eastAsiaTheme="majorEastAsia" w:hAnsi="Segoe UI Semibold"/>
      <w:bCs/>
      <w:color w:val="0069B4"/>
      <w:kern w:val="32"/>
      <w:sz w:val="36"/>
      <w:szCs w:val="32"/>
    </w:rPr>
  </w:style>
  <w:style w:type="paragraph" w:styleId="Heading2">
    <w:name w:val="heading 2"/>
    <w:basedOn w:val="Normal"/>
    <w:next w:val="BodyText"/>
    <w:link w:val="Heading2Char"/>
    <w:qFormat/>
    <w:rsid w:val="004474A5"/>
    <w:pPr>
      <w:keepNext/>
      <w:spacing w:before="240" w:after="120"/>
      <w:outlineLvl w:val="1"/>
    </w:pPr>
    <w:rPr>
      <w:rFonts w:ascii="Segoe UI Semibold" w:eastAsiaTheme="majorEastAsia" w:hAnsi="Segoe UI Semibold"/>
      <w:bCs/>
      <w:iCs/>
      <w:color w:val="009FE3"/>
      <w:sz w:val="28"/>
      <w:szCs w:val="28"/>
    </w:rPr>
  </w:style>
  <w:style w:type="paragraph" w:styleId="Heading3">
    <w:name w:val="heading 3"/>
    <w:basedOn w:val="Normal"/>
    <w:next w:val="BodyText"/>
    <w:link w:val="Heading3Char"/>
    <w:qFormat/>
    <w:rsid w:val="000B511E"/>
    <w:pPr>
      <w:keepNext/>
      <w:spacing w:before="240" w:after="60"/>
      <w:outlineLvl w:val="2"/>
    </w:pPr>
    <w:rPr>
      <w:rFonts w:ascii="Segoe UI Semibold" w:eastAsiaTheme="majorEastAsia" w:hAnsi="Segoe UI Semibold"/>
      <w:bCs/>
      <w:color w:val="68C0B5" w:themeColor="accent5"/>
      <w:sz w:val="24"/>
      <w:szCs w:val="26"/>
    </w:rPr>
  </w:style>
  <w:style w:type="paragraph" w:styleId="Heading5">
    <w:name w:val="heading 5"/>
    <w:basedOn w:val="Normal"/>
    <w:next w:val="Normal"/>
    <w:link w:val="Heading5Char"/>
    <w:uiPriority w:val="9"/>
    <w:semiHidden/>
    <w:unhideWhenUsed/>
    <w:qFormat/>
    <w:rsid w:val="000646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646F4"/>
    <w:pPr>
      <w:spacing w:before="240" w:after="60"/>
      <w:outlineLvl w:val="5"/>
    </w:pPr>
    <w:rPr>
      <w:b/>
      <w:bCs/>
    </w:rPr>
  </w:style>
  <w:style w:type="paragraph" w:styleId="Heading7">
    <w:name w:val="heading 7"/>
    <w:basedOn w:val="Normal"/>
    <w:next w:val="Normal"/>
    <w:link w:val="Heading7Char"/>
    <w:uiPriority w:val="9"/>
    <w:semiHidden/>
    <w:unhideWhenUsed/>
    <w:qFormat/>
    <w:rsid w:val="000646F4"/>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646F4"/>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646F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FrontPageScheme">
    <w:name w:val="bwFrontPageScheme"/>
    <w:basedOn w:val="Normal"/>
    <w:uiPriority w:val="4"/>
    <w:rsid w:val="000646F4"/>
    <w:pPr>
      <w:jc w:val="right"/>
    </w:pPr>
    <w:rPr>
      <w:b/>
      <w:color w:val="00446A"/>
      <w:sz w:val="64"/>
    </w:rPr>
  </w:style>
  <w:style w:type="paragraph" w:customStyle="1" w:styleId="bwFrontPageJob">
    <w:name w:val="bwFrontPageJob"/>
    <w:basedOn w:val="Normal"/>
    <w:uiPriority w:val="4"/>
    <w:rsid w:val="000646F4"/>
    <w:pPr>
      <w:jc w:val="right"/>
    </w:pPr>
    <w:rPr>
      <w:color w:val="00446A"/>
      <w:sz w:val="36"/>
    </w:rPr>
  </w:style>
  <w:style w:type="paragraph" w:customStyle="1" w:styleId="bwFrontPageDetails">
    <w:name w:val="bwFrontPageDetails"/>
    <w:basedOn w:val="Normal"/>
    <w:uiPriority w:val="4"/>
    <w:rsid w:val="000646F4"/>
    <w:pPr>
      <w:spacing w:before="60"/>
      <w:jc w:val="right"/>
    </w:pPr>
    <w:rPr>
      <w:color w:val="00446A"/>
      <w:sz w:val="28"/>
    </w:rPr>
  </w:style>
  <w:style w:type="paragraph" w:customStyle="1" w:styleId="bwFrontPageDate">
    <w:name w:val="bwFrontPageDate"/>
    <w:basedOn w:val="Normal"/>
    <w:uiPriority w:val="4"/>
    <w:rsid w:val="000646F4"/>
    <w:pPr>
      <w:spacing w:before="240"/>
      <w:jc w:val="right"/>
    </w:pPr>
    <w:rPr>
      <w:color w:val="00446A"/>
    </w:rPr>
  </w:style>
  <w:style w:type="paragraph" w:customStyle="1" w:styleId="AppendixHeading">
    <w:name w:val="Appendix Heading"/>
    <w:basedOn w:val="Normal"/>
    <w:next w:val="AppendixBodyText"/>
    <w:uiPriority w:val="2"/>
    <w:rsid w:val="000646F4"/>
    <w:pPr>
      <w:pageBreakBefore/>
      <w:numPr>
        <w:numId w:val="15"/>
      </w:numPr>
      <w:spacing w:before="240" w:after="240"/>
    </w:pPr>
    <w:rPr>
      <w:b/>
      <w:color w:val="009FE3" w:themeColor="background2"/>
      <w:sz w:val="36"/>
    </w:rPr>
  </w:style>
  <w:style w:type="paragraph" w:customStyle="1" w:styleId="bwFooterLeft">
    <w:name w:val="bwFooterLeft"/>
    <w:basedOn w:val="bwFooterRight"/>
    <w:uiPriority w:val="3"/>
    <w:rsid w:val="007710EB"/>
    <w:pPr>
      <w:jc w:val="left"/>
    </w:pPr>
  </w:style>
  <w:style w:type="paragraph" w:customStyle="1" w:styleId="bwFooterRight">
    <w:name w:val="bwFooterRight"/>
    <w:basedOn w:val="Normal"/>
    <w:uiPriority w:val="3"/>
    <w:rsid w:val="007710EB"/>
    <w:pPr>
      <w:jc w:val="right"/>
    </w:pPr>
    <w:rPr>
      <w:color w:val="797979"/>
      <w:sz w:val="13"/>
      <w:szCs w:val="22"/>
    </w:rPr>
  </w:style>
  <w:style w:type="paragraph" w:customStyle="1" w:styleId="AppendixBodyText">
    <w:name w:val="Appendix Body Text"/>
    <w:basedOn w:val="Normal"/>
    <w:link w:val="AppendixBodyTextChar"/>
    <w:uiPriority w:val="2"/>
    <w:rsid w:val="000646F4"/>
    <w:pPr>
      <w:spacing w:after="200"/>
      <w:jc w:val="both"/>
    </w:pPr>
  </w:style>
  <w:style w:type="character" w:customStyle="1" w:styleId="AppendixBodyTextChar">
    <w:name w:val="Appendix Body Text Char"/>
    <w:basedOn w:val="DefaultParagraphFont"/>
    <w:link w:val="AppendixBodyText"/>
    <w:uiPriority w:val="2"/>
    <w:rsid w:val="000646F4"/>
    <w:rPr>
      <w:rFonts w:ascii="Segoe UI" w:hAnsi="Segoe UI"/>
    </w:rPr>
  </w:style>
  <w:style w:type="paragraph" w:customStyle="1" w:styleId="Subject">
    <w:name w:val="Subject"/>
    <w:basedOn w:val="Normal"/>
    <w:next w:val="BodyText"/>
    <w:link w:val="SubjectChar"/>
    <w:rsid w:val="002B2947"/>
    <w:pPr>
      <w:spacing w:after="300"/>
      <w:contextualSpacing/>
    </w:pPr>
    <w:rPr>
      <w:rFonts w:cstheme="minorBidi"/>
      <w:color w:val="009FE3"/>
      <w:sz w:val="22"/>
      <w:szCs w:val="22"/>
    </w:rPr>
  </w:style>
  <w:style w:type="character" w:customStyle="1" w:styleId="SubjectChar">
    <w:name w:val="Subject Char"/>
    <w:basedOn w:val="DefaultParagraphFont"/>
    <w:link w:val="Subject"/>
    <w:rsid w:val="002B2947"/>
    <w:rPr>
      <w:rFonts w:ascii="Segoe UI" w:hAnsi="Segoe UI" w:cstheme="minorBidi"/>
      <w:color w:val="009FE3"/>
      <w:sz w:val="22"/>
      <w:szCs w:val="22"/>
    </w:rPr>
  </w:style>
  <w:style w:type="paragraph" w:styleId="BodyText">
    <w:name w:val="Body Text"/>
    <w:basedOn w:val="Normal"/>
    <w:link w:val="BodyTextChar"/>
    <w:qFormat/>
    <w:rsid w:val="000646F4"/>
    <w:pPr>
      <w:spacing w:after="200"/>
      <w:jc w:val="both"/>
    </w:pPr>
  </w:style>
  <w:style w:type="character" w:customStyle="1" w:styleId="BodyTextChar">
    <w:name w:val="Body Text Char"/>
    <w:basedOn w:val="DefaultParagraphFont"/>
    <w:link w:val="BodyText"/>
    <w:rsid w:val="000646F4"/>
    <w:rPr>
      <w:rFonts w:ascii="Segoe UI" w:hAnsi="Segoe UI"/>
    </w:rPr>
  </w:style>
  <w:style w:type="paragraph" w:customStyle="1" w:styleId="AppendixListBullet">
    <w:name w:val="Appendix List Bullet"/>
    <w:basedOn w:val="ListBullet"/>
    <w:uiPriority w:val="2"/>
    <w:semiHidden/>
    <w:qFormat/>
    <w:rsid w:val="000646F4"/>
    <w:pPr>
      <w:numPr>
        <w:numId w:val="0"/>
      </w:numPr>
    </w:pPr>
  </w:style>
  <w:style w:type="paragraph" w:styleId="ListBullet">
    <w:name w:val="List Bullet"/>
    <w:basedOn w:val="Normal"/>
    <w:uiPriority w:val="1"/>
    <w:semiHidden/>
    <w:qFormat/>
    <w:rsid w:val="000646F4"/>
    <w:pPr>
      <w:numPr>
        <w:numId w:val="13"/>
      </w:numPr>
      <w:spacing w:after="240" w:line="276" w:lineRule="auto"/>
      <w:contextualSpacing/>
    </w:pPr>
  </w:style>
  <w:style w:type="paragraph" w:customStyle="1" w:styleId="AppendixListNumber">
    <w:name w:val="Appendix List Number"/>
    <w:basedOn w:val="ListNumber"/>
    <w:uiPriority w:val="2"/>
    <w:semiHidden/>
    <w:qFormat/>
    <w:rsid w:val="000646F4"/>
    <w:pPr>
      <w:numPr>
        <w:numId w:val="0"/>
      </w:numPr>
    </w:pPr>
  </w:style>
  <w:style w:type="paragraph" w:styleId="ListNumber">
    <w:name w:val="List Number"/>
    <w:basedOn w:val="Normal"/>
    <w:uiPriority w:val="1"/>
    <w:semiHidden/>
    <w:qFormat/>
    <w:rsid w:val="000646F4"/>
    <w:pPr>
      <w:numPr>
        <w:numId w:val="14"/>
      </w:numPr>
      <w:spacing w:after="240" w:line="276" w:lineRule="auto"/>
      <w:contextualSpacing/>
    </w:pPr>
  </w:style>
  <w:style w:type="paragraph" w:customStyle="1" w:styleId="AppendixSubheading">
    <w:name w:val="Appendix Subheading"/>
    <w:basedOn w:val="Normal"/>
    <w:next w:val="AppendixBodyText"/>
    <w:uiPriority w:val="2"/>
    <w:rsid w:val="000646F4"/>
    <w:pPr>
      <w:spacing w:before="240" w:after="120"/>
    </w:pPr>
    <w:rPr>
      <w:b/>
      <w:color w:val="009FE3" w:themeColor="background2"/>
      <w:sz w:val="28"/>
    </w:rPr>
  </w:style>
  <w:style w:type="paragraph" w:customStyle="1" w:styleId="LetterSubheading">
    <w:name w:val="Letter Subheading"/>
    <w:basedOn w:val="Subject"/>
    <w:next w:val="BodyText"/>
    <w:link w:val="LetterSubheadingChar"/>
    <w:uiPriority w:val="1"/>
    <w:qFormat/>
    <w:rsid w:val="004474A5"/>
    <w:pPr>
      <w:spacing w:after="120"/>
    </w:pPr>
    <w:rPr>
      <w:rFonts w:ascii="Segoe UI Semibold" w:hAnsi="Segoe UI Semibold"/>
    </w:rPr>
  </w:style>
  <w:style w:type="character" w:customStyle="1" w:styleId="LetterSubheadingChar">
    <w:name w:val="Letter Subheading Char"/>
    <w:basedOn w:val="SubjectChar"/>
    <w:link w:val="LetterSubheading"/>
    <w:uiPriority w:val="1"/>
    <w:rsid w:val="004474A5"/>
    <w:rPr>
      <w:rFonts w:ascii="Segoe UI Semibold" w:hAnsi="Segoe UI Semibold" w:cstheme="minorBidi"/>
      <w:color w:val="009FE3"/>
      <w:sz w:val="22"/>
      <w:szCs w:val="22"/>
    </w:rPr>
  </w:style>
  <w:style w:type="paragraph" w:customStyle="1" w:styleId="bwTableText">
    <w:name w:val="bwTableText"/>
    <w:basedOn w:val="NoSpacing"/>
    <w:rsid w:val="000646F4"/>
    <w:pPr>
      <w:keepNext/>
    </w:pPr>
  </w:style>
  <w:style w:type="paragraph" w:styleId="NoSpacing">
    <w:name w:val="No Spacing"/>
    <w:basedOn w:val="Normal"/>
    <w:link w:val="NoSpacingChar"/>
    <w:qFormat/>
    <w:rsid w:val="000646F4"/>
    <w:rPr>
      <w:szCs w:val="32"/>
    </w:rPr>
  </w:style>
  <w:style w:type="character" w:customStyle="1" w:styleId="Heading1Char">
    <w:name w:val="Heading 1 Char"/>
    <w:basedOn w:val="DefaultParagraphFont"/>
    <w:link w:val="Heading1"/>
    <w:rsid w:val="00542024"/>
    <w:rPr>
      <w:rFonts w:ascii="Segoe UI Semibold" w:eastAsiaTheme="majorEastAsia" w:hAnsi="Segoe UI Semibold"/>
      <w:bCs/>
      <w:color w:val="0069B4"/>
      <w:kern w:val="32"/>
      <w:sz w:val="36"/>
      <w:szCs w:val="32"/>
    </w:rPr>
  </w:style>
  <w:style w:type="character" w:customStyle="1" w:styleId="Heading2Char">
    <w:name w:val="Heading 2 Char"/>
    <w:basedOn w:val="DefaultParagraphFont"/>
    <w:link w:val="Heading2"/>
    <w:rsid w:val="004474A5"/>
    <w:rPr>
      <w:rFonts w:ascii="Segoe UI Semibold" w:eastAsiaTheme="majorEastAsia" w:hAnsi="Segoe UI Semibold"/>
      <w:bCs/>
      <w:iCs/>
      <w:color w:val="009FE3"/>
      <w:sz w:val="28"/>
      <w:szCs w:val="28"/>
    </w:rPr>
  </w:style>
  <w:style w:type="character" w:customStyle="1" w:styleId="Heading3Char">
    <w:name w:val="Heading 3 Char"/>
    <w:basedOn w:val="DefaultParagraphFont"/>
    <w:link w:val="Heading3"/>
    <w:rsid w:val="000B511E"/>
    <w:rPr>
      <w:rFonts w:ascii="Segoe UI Semibold" w:eastAsiaTheme="majorEastAsia" w:hAnsi="Segoe UI Semibold"/>
      <w:bCs/>
      <w:color w:val="68C0B5" w:themeColor="accent5"/>
      <w:sz w:val="24"/>
      <w:szCs w:val="26"/>
    </w:rPr>
  </w:style>
  <w:style w:type="character" w:customStyle="1" w:styleId="Heading5Char">
    <w:name w:val="Heading 5 Char"/>
    <w:basedOn w:val="DefaultParagraphFont"/>
    <w:link w:val="Heading5"/>
    <w:uiPriority w:val="9"/>
    <w:semiHidden/>
    <w:rsid w:val="000646F4"/>
    <w:rPr>
      <w:rFonts w:ascii="Segoe UI" w:hAnsi="Segoe UI"/>
      <w:b/>
      <w:bCs/>
      <w:i/>
      <w:iCs/>
      <w:sz w:val="26"/>
      <w:szCs w:val="26"/>
    </w:rPr>
  </w:style>
  <w:style w:type="character" w:customStyle="1" w:styleId="Heading6Char">
    <w:name w:val="Heading 6 Char"/>
    <w:basedOn w:val="DefaultParagraphFont"/>
    <w:link w:val="Heading6"/>
    <w:uiPriority w:val="9"/>
    <w:semiHidden/>
    <w:rsid w:val="000646F4"/>
    <w:rPr>
      <w:rFonts w:ascii="Segoe UI" w:hAnsi="Segoe UI"/>
      <w:b/>
      <w:bCs/>
    </w:rPr>
  </w:style>
  <w:style w:type="character" w:customStyle="1" w:styleId="Heading7Char">
    <w:name w:val="Heading 7 Char"/>
    <w:basedOn w:val="DefaultParagraphFont"/>
    <w:link w:val="Heading7"/>
    <w:uiPriority w:val="9"/>
    <w:semiHidden/>
    <w:rsid w:val="000646F4"/>
    <w:rPr>
      <w:rFonts w:ascii="Segoe UI" w:hAnsi="Segoe UI"/>
      <w:sz w:val="24"/>
      <w:szCs w:val="24"/>
    </w:rPr>
  </w:style>
  <w:style w:type="character" w:customStyle="1" w:styleId="Heading8Char">
    <w:name w:val="Heading 8 Char"/>
    <w:basedOn w:val="DefaultParagraphFont"/>
    <w:link w:val="Heading8"/>
    <w:uiPriority w:val="9"/>
    <w:semiHidden/>
    <w:rsid w:val="000646F4"/>
    <w:rPr>
      <w:rFonts w:ascii="Segoe UI" w:hAnsi="Segoe UI"/>
      <w:i/>
      <w:iCs/>
      <w:sz w:val="24"/>
      <w:szCs w:val="24"/>
    </w:rPr>
  </w:style>
  <w:style w:type="character" w:customStyle="1" w:styleId="Heading9Char">
    <w:name w:val="Heading 9 Char"/>
    <w:basedOn w:val="DefaultParagraphFont"/>
    <w:link w:val="Heading9"/>
    <w:uiPriority w:val="9"/>
    <w:semiHidden/>
    <w:rsid w:val="000646F4"/>
    <w:rPr>
      <w:rFonts w:asciiTheme="majorHAnsi" w:eastAsiaTheme="majorEastAsia" w:hAnsiTheme="majorHAnsi"/>
    </w:rPr>
  </w:style>
  <w:style w:type="paragraph" w:styleId="List">
    <w:name w:val="List"/>
    <w:basedOn w:val="Normal"/>
    <w:link w:val="ListChar"/>
    <w:qFormat/>
    <w:rsid w:val="000646F4"/>
    <w:pPr>
      <w:numPr>
        <w:numId w:val="16"/>
      </w:numPr>
      <w:spacing w:after="200" w:line="276" w:lineRule="auto"/>
      <w:contextualSpacing/>
    </w:pPr>
  </w:style>
  <w:style w:type="paragraph" w:styleId="Title">
    <w:name w:val="Title"/>
    <w:basedOn w:val="Normal"/>
    <w:next w:val="Heading1"/>
    <w:link w:val="TitleChar"/>
    <w:uiPriority w:val="2"/>
    <w:rsid w:val="000646F4"/>
    <w:pPr>
      <w:spacing w:before="240" w:after="720"/>
      <w:jc w:val="center"/>
    </w:pPr>
    <w:rPr>
      <w:b/>
      <w:color w:val="009FE3" w:themeColor="background2"/>
      <w:sz w:val="44"/>
      <w:szCs w:val="44"/>
    </w:rPr>
  </w:style>
  <w:style w:type="character" w:customStyle="1" w:styleId="TitleChar">
    <w:name w:val="Title Char"/>
    <w:basedOn w:val="DefaultParagraphFont"/>
    <w:link w:val="Title"/>
    <w:uiPriority w:val="2"/>
    <w:rsid w:val="000646F4"/>
    <w:rPr>
      <w:rFonts w:ascii="Segoe UI" w:hAnsi="Segoe UI"/>
      <w:b/>
      <w:color w:val="009FE3" w:themeColor="background2"/>
      <w:sz w:val="44"/>
      <w:szCs w:val="44"/>
    </w:rPr>
  </w:style>
  <w:style w:type="paragraph" w:styleId="Closing">
    <w:name w:val="Closing"/>
    <w:basedOn w:val="Normal"/>
    <w:link w:val="ClosingChar"/>
    <w:uiPriority w:val="1"/>
    <w:qFormat/>
    <w:rsid w:val="000646F4"/>
    <w:pPr>
      <w:spacing w:before="360" w:after="840"/>
    </w:pPr>
  </w:style>
  <w:style w:type="character" w:customStyle="1" w:styleId="ClosingChar">
    <w:name w:val="Closing Char"/>
    <w:basedOn w:val="DefaultParagraphFont"/>
    <w:link w:val="Closing"/>
    <w:uiPriority w:val="1"/>
    <w:rsid w:val="000646F4"/>
    <w:rPr>
      <w:rFonts w:ascii="Segoe UI" w:hAnsi="Segoe UI"/>
    </w:rPr>
  </w:style>
  <w:style w:type="paragraph" w:styleId="Signature">
    <w:name w:val="Signature"/>
    <w:basedOn w:val="Normal"/>
    <w:link w:val="SignatureChar"/>
    <w:qFormat/>
    <w:rsid w:val="000646F4"/>
    <w:rPr>
      <w:rFonts w:cstheme="minorBidi"/>
      <w:b/>
      <w:szCs w:val="22"/>
    </w:rPr>
  </w:style>
  <w:style w:type="character" w:customStyle="1" w:styleId="SignatureChar">
    <w:name w:val="Signature Char"/>
    <w:basedOn w:val="DefaultParagraphFont"/>
    <w:link w:val="Signature"/>
    <w:rsid w:val="000646F4"/>
    <w:rPr>
      <w:rFonts w:ascii="Segoe UI" w:hAnsi="Segoe UI" w:cstheme="minorBidi"/>
      <w:b/>
      <w:szCs w:val="22"/>
    </w:rPr>
  </w:style>
  <w:style w:type="paragraph" w:styleId="Salutation">
    <w:name w:val="Salutation"/>
    <w:basedOn w:val="Normal"/>
    <w:next w:val="Normal"/>
    <w:link w:val="SalutationChar"/>
    <w:uiPriority w:val="1"/>
    <w:rsid w:val="000646F4"/>
    <w:pPr>
      <w:spacing w:after="240"/>
    </w:pPr>
  </w:style>
  <w:style w:type="character" w:customStyle="1" w:styleId="SalutationChar">
    <w:name w:val="Salutation Char"/>
    <w:basedOn w:val="DefaultParagraphFont"/>
    <w:link w:val="Salutation"/>
    <w:uiPriority w:val="1"/>
    <w:rsid w:val="000646F4"/>
    <w:rPr>
      <w:rFonts w:ascii="Segoe UI" w:hAnsi="Segoe UI"/>
    </w:rPr>
  </w:style>
  <w:style w:type="paragraph" w:styleId="Date">
    <w:name w:val="Date"/>
    <w:basedOn w:val="Normal"/>
    <w:next w:val="Normal"/>
    <w:link w:val="DateChar"/>
    <w:uiPriority w:val="1"/>
    <w:qFormat/>
    <w:rsid w:val="000646F4"/>
    <w:pPr>
      <w:jc w:val="right"/>
    </w:pPr>
    <w:rPr>
      <w:sz w:val="22"/>
    </w:rPr>
  </w:style>
  <w:style w:type="character" w:customStyle="1" w:styleId="DateChar">
    <w:name w:val="Date Char"/>
    <w:basedOn w:val="DefaultParagraphFont"/>
    <w:link w:val="Date"/>
    <w:uiPriority w:val="1"/>
    <w:rsid w:val="000646F4"/>
    <w:rPr>
      <w:rFonts w:ascii="Segoe UI" w:hAnsi="Segoe UI"/>
      <w:sz w:val="22"/>
    </w:rPr>
  </w:style>
  <w:style w:type="paragraph" w:styleId="BodyText2">
    <w:name w:val="Body Text 2"/>
    <w:basedOn w:val="BodyText"/>
    <w:link w:val="BodyText2Char"/>
    <w:uiPriority w:val="99"/>
    <w:semiHidden/>
    <w:qFormat/>
    <w:rsid w:val="000646F4"/>
  </w:style>
  <w:style w:type="character" w:customStyle="1" w:styleId="BodyText2Char">
    <w:name w:val="Body Text 2 Char"/>
    <w:basedOn w:val="DefaultParagraphFont"/>
    <w:link w:val="BodyText2"/>
    <w:uiPriority w:val="99"/>
    <w:semiHidden/>
    <w:rsid w:val="000646F4"/>
    <w:rPr>
      <w:rFonts w:ascii="Segoe UI" w:hAnsi="Segoe UI"/>
    </w:rPr>
  </w:style>
  <w:style w:type="character" w:styleId="Hyperlink">
    <w:name w:val="Hyperlink"/>
    <w:basedOn w:val="DefaultParagraphFont"/>
    <w:uiPriority w:val="99"/>
    <w:unhideWhenUsed/>
    <w:qFormat/>
    <w:rsid w:val="00D32F2B"/>
    <w:rPr>
      <w:rFonts w:ascii="Segoe UI" w:hAnsi="Segoe UI"/>
      <w:color w:val="009FE3"/>
      <w:sz w:val="20"/>
      <w:u w:val="single"/>
    </w:rPr>
  </w:style>
  <w:style w:type="character" w:customStyle="1" w:styleId="NoSpacingChar">
    <w:name w:val="No Spacing Char"/>
    <w:basedOn w:val="DefaultParagraphFont"/>
    <w:link w:val="NoSpacing"/>
    <w:rsid w:val="000646F4"/>
    <w:rPr>
      <w:rFonts w:ascii="Segoe UI" w:hAnsi="Segoe UI"/>
      <w:szCs w:val="32"/>
    </w:rPr>
  </w:style>
  <w:style w:type="paragraph" w:styleId="TOCHeading">
    <w:name w:val="TOC Heading"/>
    <w:next w:val="Normal"/>
    <w:uiPriority w:val="5"/>
    <w:rsid w:val="000646F4"/>
    <w:pPr>
      <w:keepNext/>
      <w:spacing w:before="200"/>
    </w:pPr>
    <w:rPr>
      <w:rFonts w:ascii="Segoe UI" w:eastAsiaTheme="majorEastAsia" w:hAnsi="Segoe UI"/>
      <w:b/>
      <w:bCs/>
      <w:color w:val="009FE3" w:themeColor="background2"/>
      <w:kern w:val="32"/>
      <w:sz w:val="36"/>
      <w:szCs w:val="32"/>
    </w:rPr>
  </w:style>
  <w:style w:type="paragraph" w:customStyle="1" w:styleId="NumberedList">
    <w:name w:val="Numbered List"/>
    <w:basedOn w:val="List"/>
    <w:link w:val="NumberedListChar"/>
    <w:qFormat/>
    <w:rsid w:val="000221F1"/>
    <w:pPr>
      <w:numPr>
        <w:numId w:val="17"/>
      </w:numPr>
    </w:pPr>
  </w:style>
  <w:style w:type="paragraph" w:customStyle="1" w:styleId="Frontpageheader1">
    <w:name w:val="Front page header 1"/>
    <w:basedOn w:val="Heading1"/>
    <w:link w:val="Frontpageheader1Char"/>
    <w:qFormat/>
    <w:rsid w:val="00542024"/>
    <w:pPr>
      <w:pageBreakBefore w:val="0"/>
    </w:pPr>
    <w:rPr>
      <w:sz w:val="56"/>
      <w:szCs w:val="56"/>
    </w:rPr>
  </w:style>
  <w:style w:type="character" w:customStyle="1" w:styleId="ListChar">
    <w:name w:val="List Char"/>
    <w:basedOn w:val="DefaultParagraphFont"/>
    <w:link w:val="List"/>
    <w:rsid w:val="000221F1"/>
    <w:rPr>
      <w:rFonts w:ascii="Segoe UI" w:hAnsi="Segoe UI"/>
    </w:rPr>
  </w:style>
  <w:style w:type="character" w:customStyle="1" w:styleId="NumberedListChar">
    <w:name w:val="Numbered List Char"/>
    <w:basedOn w:val="ListChar"/>
    <w:link w:val="NumberedList"/>
    <w:rsid w:val="000221F1"/>
    <w:rPr>
      <w:rFonts w:ascii="Segoe UI" w:hAnsi="Segoe UI"/>
    </w:rPr>
  </w:style>
  <w:style w:type="paragraph" w:customStyle="1" w:styleId="Frontpagedetails">
    <w:name w:val="Front page details"/>
    <w:basedOn w:val="Frontpageheader1"/>
    <w:link w:val="FrontpagedetailsChar"/>
    <w:qFormat/>
    <w:rsid w:val="00CF25DF"/>
    <w:rPr>
      <w:color w:val="797979"/>
      <w:sz w:val="24"/>
      <w:szCs w:val="36"/>
    </w:rPr>
  </w:style>
  <w:style w:type="character" w:customStyle="1" w:styleId="Frontpageheader1Char">
    <w:name w:val="Front page header 1 Char"/>
    <w:basedOn w:val="Heading1Char"/>
    <w:link w:val="Frontpageheader1"/>
    <w:rsid w:val="00542024"/>
    <w:rPr>
      <w:rFonts w:ascii="Segoe UI Semibold" w:eastAsiaTheme="majorEastAsia" w:hAnsi="Segoe UI Semibold"/>
      <w:bCs/>
      <w:color w:val="0069B4"/>
      <w:kern w:val="32"/>
      <w:sz w:val="56"/>
      <w:szCs w:val="56"/>
    </w:rPr>
  </w:style>
  <w:style w:type="paragraph" w:customStyle="1" w:styleId="Frontpagedate">
    <w:name w:val="Front page date"/>
    <w:basedOn w:val="Frontpagedetails"/>
    <w:link w:val="FrontpagedateChar"/>
    <w:qFormat/>
    <w:rsid w:val="00CF25DF"/>
    <w:rPr>
      <w:sz w:val="16"/>
    </w:rPr>
  </w:style>
  <w:style w:type="character" w:customStyle="1" w:styleId="FrontpagedetailsChar">
    <w:name w:val="Front page details Char"/>
    <w:basedOn w:val="Frontpageheader1Char"/>
    <w:link w:val="Frontpagedetails"/>
    <w:rsid w:val="00CF25DF"/>
    <w:rPr>
      <w:rFonts w:ascii="Segoe UI" w:eastAsiaTheme="majorEastAsia" w:hAnsi="Segoe UI"/>
      <w:bCs/>
      <w:color w:val="797979"/>
      <w:kern w:val="32"/>
      <w:sz w:val="24"/>
      <w:szCs w:val="36"/>
    </w:rPr>
  </w:style>
  <w:style w:type="table" w:customStyle="1" w:styleId="bwTable">
    <w:name w:val="bwTable"/>
    <w:basedOn w:val="TableNormal"/>
    <w:uiPriority w:val="99"/>
    <w:qFormat/>
    <w:rsid w:val="002C059D"/>
    <w:pPr>
      <w:spacing w:after="0" w:line="240" w:lineRule="auto"/>
    </w:pPr>
    <w:rPr>
      <w:rFonts w:asciiTheme="minorHAnsi" w:hAnsiTheme="minorHAnsi"/>
      <w:lang w:val="en-US" w:bidi="en-US"/>
    </w:rPr>
    <w:tblPr>
      <w:tblStyleRowBandSize w:val="1"/>
      <w:tblStyleColBandSize w:val="1"/>
      <w:tblBorders>
        <w:top w:val="single" w:sz="4" w:space="0" w:color="009FE3" w:themeColor="background2"/>
        <w:left w:val="single" w:sz="4" w:space="0" w:color="009FE3" w:themeColor="background2"/>
        <w:bottom w:val="single" w:sz="4" w:space="0" w:color="009FE3" w:themeColor="background2"/>
        <w:right w:val="single" w:sz="4" w:space="0" w:color="009FE3" w:themeColor="background2"/>
        <w:insideH w:val="single" w:sz="4" w:space="0" w:color="009FE3" w:themeColor="background2"/>
        <w:insideV w:val="single" w:sz="4" w:space="0" w:color="009FE3" w:themeColor="background2"/>
      </w:tblBorders>
      <w:tblCellMar>
        <w:top w:w="108" w:type="dxa"/>
        <w:bottom w:w="108" w:type="dxa"/>
      </w:tblCellMar>
    </w:tblPr>
    <w:tcPr>
      <w:vAlign w:val="center"/>
    </w:tcPr>
    <w:tblStylePr w:type="firstRow">
      <w:rPr>
        <w:b w:val="0"/>
        <w:color w:val="41C0F0" w:themeColor="accent1"/>
      </w:rPr>
      <w:tblPr/>
      <w:tcPr>
        <w:tcBorders>
          <w:top w:val="single" w:sz="4" w:space="0" w:color="41C0F0" w:themeColor="accent1"/>
          <w:left w:val="nil"/>
          <w:bottom w:val="single" w:sz="4" w:space="0" w:color="41C0F0" w:themeColor="accent1"/>
          <w:right w:val="nil"/>
          <w:insideH w:val="nil"/>
          <w:insideV w:val="nil"/>
          <w:tl2br w:val="nil"/>
          <w:tr2bl w:val="nil"/>
        </w:tcBorders>
      </w:tcPr>
    </w:tblStylePr>
    <w:tblStylePr w:type="lastRow">
      <w:tblPr/>
      <w:tcPr>
        <w:tcBorders>
          <w:top w:val="single" w:sz="4" w:space="0" w:color="BFBFBF" w:themeColor="background1" w:themeShade="BF"/>
          <w:left w:val="nil"/>
          <w:bottom w:val="nil"/>
          <w:right w:val="nil"/>
          <w:insideH w:val="nil"/>
          <w:insideV w:val="nil"/>
          <w:tl2br w:val="nil"/>
          <w:tr2bl w:val="nil"/>
        </w:tcBorders>
      </w:tcPr>
    </w:tblStylePr>
    <w:tblStylePr w:type="band1Horz">
      <w:tblPr/>
      <w:tcPr>
        <w:tcBorders>
          <w:top w:val="single" w:sz="4" w:space="0" w:color="BFBFBF" w:themeColor="background1" w:themeShade="BF"/>
          <w:left w:val="nil"/>
          <w:bottom w:val="nil"/>
          <w:right w:val="nil"/>
          <w:insideH w:val="nil"/>
          <w:insideV w:val="nil"/>
          <w:tl2br w:val="nil"/>
          <w:tr2bl w:val="nil"/>
        </w:tcBorders>
      </w:tcPr>
    </w:tblStylePr>
    <w:tblStylePr w:type="band2Horz">
      <w:tblPr/>
      <w:tcPr>
        <w:tcBorders>
          <w:top w:val="single" w:sz="4" w:space="0" w:color="BFBFBF" w:themeColor="background1" w:themeShade="BF"/>
          <w:left w:val="nil"/>
          <w:bottom w:val="nil"/>
          <w:right w:val="nil"/>
          <w:insideH w:val="nil"/>
          <w:insideV w:val="nil"/>
          <w:tl2br w:val="nil"/>
          <w:tr2bl w:val="nil"/>
        </w:tcBorders>
      </w:tcPr>
    </w:tblStylePr>
  </w:style>
  <w:style w:type="character" w:customStyle="1" w:styleId="FrontpagedateChar">
    <w:name w:val="Front page date Char"/>
    <w:basedOn w:val="FrontpagedetailsChar"/>
    <w:link w:val="Frontpagedate"/>
    <w:rsid w:val="00CF25DF"/>
    <w:rPr>
      <w:rFonts w:ascii="Segoe UI" w:eastAsiaTheme="majorEastAsia" w:hAnsi="Segoe UI"/>
      <w:bCs/>
      <w:color w:val="797979"/>
      <w:kern w:val="32"/>
      <w:sz w:val="16"/>
      <w:szCs w:val="36"/>
    </w:rPr>
  </w:style>
  <w:style w:type="paragraph" w:styleId="Header">
    <w:name w:val="header"/>
    <w:basedOn w:val="Normal"/>
    <w:link w:val="HeaderChar"/>
    <w:uiPriority w:val="99"/>
    <w:unhideWhenUsed/>
    <w:rsid w:val="00615554"/>
    <w:pPr>
      <w:tabs>
        <w:tab w:val="center" w:pos="4513"/>
        <w:tab w:val="right" w:pos="9026"/>
      </w:tabs>
    </w:pPr>
  </w:style>
  <w:style w:type="character" w:customStyle="1" w:styleId="HeaderChar">
    <w:name w:val="Header Char"/>
    <w:basedOn w:val="DefaultParagraphFont"/>
    <w:link w:val="Header"/>
    <w:uiPriority w:val="99"/>
    <w:rsid w:val="00615554"/>
    <w:rPr>
      <w:rFonts w:ascii="Segoe UI" w:hAnsi="Segoe UI"/>
    </w:rPr>
  </w:style>
  <w:style w:type="paragraph" w:styleId="Footer">
    <w:name w:val="footer"/>
    <w:basedOn w:val="Normal"/>
    <w:link w:val="FooterChar"/>
    <w:uiPriority w:val="99"/>
    <w:unhideWhenUsed/>
    <w:rsid w:val="00615554"/>
    <w:pPr>
      <w:tabs>
        <w:tab w:val="center" w:pos="4513"/>
        <w:tab w:val="right" w:pos="9026"/>
      </w:tabs>
    </w:pPr>
  </w:style>
  <w:style w:type="character" w:customStyle="1" w:styleId="FooterChar">
    <w:name w:val="Footer Char"/>
    <w:basedOn w:val="DefaultParagraphFont"/>
    <w:link w:val="Footer"/>
    <w:uiPriority w:val="99"/>
    <w:rsid w:val="00615554"/>
    <w:rPr>
      <w:rFonts w:ascii="Segoe UI" w:hAnsi="Segoe UI"/>
    </w:rPr>
  </w:style>
  <w:style w:type="character" w:styleId="PlaceholderText">
    <w:name w:val="Placeholder Text"/>
    <w:basedOn w:val="DefaultParagraphFont"/>
    <w:uiPriority w:val="99"/>
    <w:semiHidden/>
    <w:rsid w:val="00615554"/>
    <w:rPr>
      <w:color w:val="808080"/>
    </w:rPr>
  </w:style>
  <w:style w:type="paragraph" w:customStyle="1" w:styleId="Frontpageheader2">
    <w:name w:val="Front page header 2"/>
    <w:basedOn w:val="Frontpageheader1"/>
    <w:link w:val="Frontpageheader2Char"/>
    <w:qFormat/>
    <w:rsid w:val="005C5928"/>
    <w:rPr>
      <w:color w:val="009FE3"/>
      <w:sz w:val="36"/>
      <w:szCs w:val="36"/>
    </w:rPr>
  </w:style>
  <w:style w:type="character" w:customStyle="1" w:styleId="Frontpageheader2Char">
    <w:name w:val="Front page header 2 Char"/>
    <w:basedOn w:val="Frontpageheader1Char"/>
    <w:link w:val="Frontpageheader2"/>
    <w:rsid w:val="005C5928"/>
    <w:rPr>
      <w:rFonts w:ascii="Segoe UI" w:eastAsiaTheme="majorEastAsia" w:hAnsi="Segoe UI"/>
      <w:bCs/>
      <w:color w:val="009FE3"/>
      <w:kern w:val="32"/>
      <w:sz w:val="36"/>
      <w:szCs w:val="36"/>
    </w:rPr>
  </w:style>
  <w:style w:type="table" w:styleId="TableGrid">
    <w:name w:val="Table Grid"/>
    <w:basedOn w:val="TableNormal"/>
    <w:uiPriority w:val="59"/>
    <w:rsid w:val="0044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024"/>
    <w:rPr>
      <w:sz w:val="16"/>
      <w:szCs w:val="16"/>
    </w:rPr>
  </w:style>
  <w:style w:type="paragraph" w:styleId="CommentText">
    <w:name w:val="annotation text"/>
    <w:basedOn w:val="Normal"/>
    <w:link w:val="CommentTextChar"/>
    <w:uiPriority w:val="99"/>
    <w:semiHidden/>
    <w:unhideWhenUsed/>
    <w:rsid w:val="00542024"/>
  </w:style>
  <w:style w:type="character" w:customStyle="1" w:styleId="CommentTextChar">
    <w:name w:val="Comment Text Char"/>
    <w:basedOn w:val="DefaultParagraphFont"/>
    <w:link w:val="CommentText"/>
    <w:uiPriority w:val="99"/>
    <w:semiHidden/>
    <w:rsid w:val="00542024"/>
    <w:rPr>
      <w:rFonts w:ascii="Segoe UI" w:hAnsi="Segoe UI"/>
    </w:rPr>
  </w:style>
  <w:style w:type="paragraph" w:styleId="CommentSubject">
    <w:name w:val="annotation subject"/>
    <w:basedOn w:val="CommentText"/>
    <w:next w:val="CommentText"/>
    <w:link w:val="CommentSubjectChar"/>
    <w:uiPriority w:val="99"/>
    <w:semiHidden/>
    <w:unhideWhenUsed/>
    <w:rsid w:val="00542024"/>
    <w:rPr>
      <w:b/>
      <w:bCs/>
    </w:rPr>
  </w:style>
  <w:style w:type="character" w:customStyle="1" w:styleId="CommentSubjectChar">
    <w:name w:val="Comment Subject Char"/>
    <w:basedOn w:val="CommentTextChar"/>
    <w:link w:val="CommentSubject"/>
    <w:uiPriority w:val="99"/>
    <w:semiHidden/>
    <w:rsid w:val="00542024"/>
    <w:rPr>
      <w:rFonts w:ascii="Segoe UI" w:hAnsi="Segoe UI"/>
      <w:b/>
      <w:bCs/>
    </w:rPr>
  </w:style>
  <w:style w:type="paragraph" w:styleId="BalloonText">
    <w:name w:val="Balloon Text"/>
    <w:basedOn w:val="Normal"/>
    <w:link w:val="BalloonTextChar"/>
    <w:uiPriority w:val="99"/>
    <w:semiHidden/>
    <w:unhideWhenUsed/>
    <w:rsid w:val="00542024"/>
    <w:rPr>
      <w:rFonts w:cs="Segoe UI"/>
      <w:sz w:val="18"/>
      <w:szCs w:val="18"/>
    </w:rPr>
  </w:style>
  <w:style w:type="character" w:customStyle="1" w:styleId="BalloonTextChar">
    <w:name w:val="Balloon Text Char"/>
    <w:basedOn w:val="DefaultParagraphFont"/>
    <w:link w:val="BalloonText"/>
    <w:uiPriority w:val="99"/>
    <w:semiHidden/>
    <w:rsid w:val="00542024"/>
    <w:rPr>
      <w:rFonts w:ascii="Segoe UI" w:hAnsi="Segoe UI" w:cs="Segoe UI"/>
      <w:sz w:val="18"/>
      <w:szCs w:val="18"/>
    </w:rPr>
  </w:style>
  <w:style w:type="paragraph" w:styleId="TOC1">
    <w:name w:val="toc 1"/>
    <w:basedOn w:val="Normal"/>
    <w:next w:val="Normal"/>
    <w:autoRedefine/>
    <w:uiPriority w:val="39"/>
    <w:unhideWhenUsed/>
    <w:rsid w:val="00E066C2"/>
    <w:pPr>
      <w:spacing w:after="100"/>
    </w:pPr>
  </w:style>
  <w:style w:type="paragraph" w:styleId="TOC2">
    <w:name w:val="toc 2"/>
    <w:basedOn w:val="Normal"/>
    <w:next w:val="Normal"/>
    <w:autoRedefine/>
    <w:uiPriority w:val="39"/>
    <w:unhideWhenUsed/>
    <w:rsid w:val="00E066C2"/>
    <w:pPr>
      <w:spacing w:after="100"/>
      <w:ind w:left="200"/>
    </w:pPr>
  </w:style>
  <w:style w:type="paragraph" w:styleId="TOC3">
    <w:name w:val="toc 3"/>
    <w:basedOn w:val="Normal"/>
    <w:next w:val="Normal"/>
    <w:autoRedefine/>
    <w:uiPriority w:val="39"/>
    <w:unhideWhenUsed/>
    <w:rsid w:val="00CC675B"/>
    <w:pPr>
      <w:tabs>
        <w:tab w:val="right" w:leader="dot" w:pos="9856"/>
      </w:tabs>
      <w:spacing w:after="100"/>
      <w:ind w:left="400"/>
    </w:pPr>
  </w:style>
  <w:style w:type="paragraph" w:styleId="ListParagraph">
    <w:name w:val="List Paragraph"/>
    <w:basedOn w:val="Normal"/>
    <w:uiPriority w:val="34"/>
    <w:qFormat/>
    <w:rsid w:val="00E14CFE"/>
    <w:pPr>
      <w:ind w:left="720"/>
      <w:contextualSpacing/>
    </w:pPr>
  </w:style>
  <w:style w:type="paragraph" w:styleId="Revision">
    <w:name w:val="Revision"/>
    <w:hidden/>
    <w:uiPriority w:val="99"/>
    <w:semiHidden/>
    <w:rsid w:val="006C2007"/>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5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arnett Waddingham">
  <a:themeElements>
    <a:clrScheme name="Barnett Waddingham">
      <a:dk1>
        <a:sysClr val="windowText" lastClr="000000"/>
      </a:dk1>
      <a:lt1>
        <a:sysClr val="window" lastClr="FFFFFF"/>
      </a:lt1>
      <a:dk2>
        <a:srgbClr val="0069B4"/>
      </a:dk2>
      <a:lt2>
        <a:srgbClr val="009FE3"/>
      </a:lt2>
      <a:accent1>
        <a:srgbClr val="41C0F0"/>
      </a:accent1>
      <a:accent2>
        <a:srgbClr val="A1DAF8"/>
      </a:accent2>
      <a:accent3>
        <a:srgbClr val="797979"/>
      </a:accent3>
      <a:accent4>
        <a:srgbClr val="C0C0C0"/>
      </a:accent4>
      <a:accent5>
        <a:srgbClr val="68C0B5"/>
      </a:accent5>
      <a:accent6>
        <a:srgbClr val="F5DE7A"/>
      </a:accent6>
      <a:hlink>
        <a:srgbClr val="1192D1"/>
      </a:hlink>
      <a:folHlink>
        <a:srgbClr val="4B08A1"/>
      </a:folHlink>
    </a:clrScheme>
    <a:fontScheme name="Custom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B5D9A673A79F44B4A4AC8F89BF9D8D" ma:contentTypeVersion="12" ma:contentTypeDescription="Create a new document." ma:contentTypeScope="" ma:versionID="40599ac7e699cfeb4fc23e2e7b6914d1">
  <xsd:schema xmlns:xsd="http://www.w3.org/2001/XMLSchema" xmlns:xs="http://www.w3.org/2001/XMLSchema" xmlns:p="http://schemas.microsoft.com/office/2006/metadata/properties" xmlns:ns2="9534d3c8-124d-45e2-9876-a0820d67d79d" xmlns:ns3="eea7d4a6-3a18-4d13-b84e-a0a9f481a306" targetNamespace="http://schemas.microsoft.com/office/2006/metadata/properties" ma:root="true" ma:fieldsID="85b90077edae6c5c1f654292be51b877" ns2:_="" ns3:_="">
    <xsd:import namespace="9534d3c8-124d-45e2-9876-a0820d67d79d"/>
    <xsd:import namespace="eea7d4a6-3a18-4d13-b84e-a0a9f481a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Template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4d3c8-124d-45e2-9876-a0820d67d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emplateversion" ma:index="19" nillable="true" ma:displayName="Template version" ma:format="Dropdown" ma:internalName="Template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7d4a6-3a18-4d13-b84e-a0a9f481a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version xmlns="9534d3c8-124d-45e2-9876-a0820d67d79d" xsi:nil="true"/>
  </documentManagement>
</p:properties>
</file>

<file path=customXml/itemProps1.xml><?xml version="1.0" encoding="utf-8"?>
<ds:datastoreItem xmlns:ds="http://schemas.openxmlformats.org/officeDocument/2006/customXml" ds:itemID="{93FB334A-DAC1-4F18-B3DB-CC060C07361D}">
  <ds:schemaRefs>
    <ds:schemaRef ds:uri="http://schemas.openxmlformats.org/officeDocument/2006/bibliography"/>
  </ds:schemaRefs>
</ds:datastoreItem>
</file>

<file path=customXml/itemProps2.xml><?xml version="1.0" encoding="utf-8"?>
<ds:datastoreItem xmlns:ds="http://schemas.openxmlformats.org/officeDocument/2006/customXml" ds:itemID="{3A5ECFAF-07A0-4DE4-A0E8-4BD8C086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4d3c8-124d-45e2-9876-a0820d67d79d"/>
    <ds:schemaRef ds:uri="eea7d4a6-3a18-4d13-b84e-a0a9f481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05AC7-AE9F-41BF-B5F6-EFB569969A0F}">
  <ds:schemaRefs>
    <ds:schemaRef ds:uri="http://schemas.microsoft.com/sharepoint/v3/contenttype/forms"/>
  </ds:schemaRefs>
</ds:datastoreItem>
</file>

<file path=customXml/itemProps4.xml><?xml version="1.0" encoding="utf-8"?>
<ds:datastoreItem xmlns:ds="http://schemas.openxmlformats.org/officeDocument/2006/customXml" ds:itemID="{C01144F3-19CA-4A38-B178-0281B919C7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534d3c8-124d-45e2-9876-a0820d67d79d"/>
    <ds:schemaRef ds:uri="eea7d4a6-3a18-4d13-b84e-a0a9f481a30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Barnett Waddingham LLP</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Lau</dc:creator>
  <cp:keywords/>
  <dc:description>6 December 2021</dc:description>
  <cp:lastModifiedBy>Jade Pearce</cp:lastModifiedBy>
  <cp:revision>23</cp:revision>
  <dcterms:created xsi:type="dcterms:W3CDTF">2021-09-23T09:52:00Z</dcterms:created>
  <dcterms:modified xsi:type="dcterms:W3CDTF">2021-12-08T11:38:00Z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0x010100F5B5D9A673A79F44B4A4AC8F89BF9D8D</vt:lpwstr>
  </property>
</Properties>
</file>